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D66D" w14:textId="4BBAF41F" w:rsidR="00153008" w:rsidRPr="00153008" w:rsidRDefault="00153008" w:rsidP="00153008">
      <w:pPr>
        <w:jc w:val="center"/>
        <w:rPr>
          <w:b/>
          <w:bCs/>
        </w:rPr>
      </w:pPr>
      <w:r w:rsidRPr="00153008">
        <w:rPr>
          <w:b/>
          <w:bCs/>
        </w:rPr>
        <w:t xml:space="preserve">RCN (Rescheduling/Cancellation/No-Show) </w:t>
      </w:r>
      <w:r>
        <w:rPr>
          <w:b/>
          <w:bCs/>
        </w:rPr>
        <w:t>P</w:t>
      </w:r>
      <w:r w:rsidRPr="00153008">
        <w:rPr>
          <w:b/>
          <w:bCs/>
        </w:rPr>
        <w:t>olicy</w:t>
      </w:r>
    </w:p>
    <w:p w14:paraId="4B3BEB29" w14:textId="77777777" w:rsidR="00153008" w:rsidRPr="00153008" w:rsidRDefault="00153008" w:rsidP="00153008">
      <w:pPr>
        <w:jc w:val="center"/>
      </w:pPr>
    </w:p>
    <w:p w14:paraId="5D24EC29" w14:textId="329DAE94" w:rsidR="00153008" w:rsidRDefault="00153008" w:rsidP="00153008">
      <w:pPr>
        <w:ind w:left="360"/>
      </w:pPr>
      <w:r w:rsidRPr="00153008">
        <w:t>We understand that unexpected circumstances, including personal, medical, or financial hardships, may sometimes prevent patients from attending scheduled appointments. While missed appointments impact clinic operations and limit access for others, we strive to handle such situations with fairness, empathy, and commitment to continuity of care.</w:t>
      </w:r>
    </w:p>
    <w:p w14:paraId="1EB60853" w14:textId="77777777" w:rsidR="00153008" w:rsidRPr="00153008" w:rsidRDefault="00153008" w:rsidP="00153008">
      <w:pPr>
        <w:ind w:left="360"/>
      </w:pPr>
    </w:p>
    <w:p w14:paraId="6C84D58E" w14:textId="77777777" w:rsidR="00153008" w:rsidRDefault="00153008" w:rsidP="00153008">
      <w:pPr>
        <w:ind w:left="360"/>
      </w:pPr>
      <w:r w:rsidRPr="00153008">
        <w:t>To help patients stay connected to their care, we offer limited waivers of Rescheduling/Cancellation/No-Show (RCN) fees under specific conditions.</w:t>
      </w:r>
    </w:p>
    <w:p w14:paraId="2AF32721" w14:textId="77777777" w:rsidR="00153008" w:rsidRPr="00153008" w:rsidRDefault="00153008" w:rsidP="00153008"/>
    <w:p w14:paraId="3CA40B57" w14:textId="77777777" w:rsidR="00153008" w:rsidRPr="00153008" w:rsidRDefault="00153008" w:rsidP="00153008">
      <w:pPr>
        <w:ind w:left="360"/>
        <w:rPr>
          <w:b/>
          <w:bCs/>
        </w:rPr>
      </w:pPr>
      <w:r w:rsidRPr="00153008">
        <w:rPr>
          <w:b/>
          <w:bCs/>
        </w:rPr>
        <w:t>1st No-Show within a 12-Month Period</w:t>
      </w:r>
    </w:p>
    <w:p w14:paraId="7C53E9DC" w14:textId="66374F0E" w:rsidR="00153008" w:rsidRPr="00153008" w:rsidRDefault="00153008" w:rsidP="00153008">
      <w:pPr>
        <w:pStyle w:val="ListParagraph"/>
        <w:numPr>
          <w:ilvl w:val="0"/>
          <w:numId w:val="7"/>
        </w:numPr>
      </w:pPr>
      <w:r w:rsidRPr="00153008">
        <w:t>Fee: $75 for 20-minute appointments, $75 for</w:t>
      </w:r>
      <w:r>
        <w:t xml:space="preserve"> </w:t>
      </w:r>
      <w:r w:rsidRPr="00153008">
        <w:rPr>
          <w:b/>
          <w:bCs/>
        </w:rPr>
        <w:t xml:space="preserve">TMS, </w:t>
      </w:r>
      <w:proofErr w:type="spellStart"/>
      <w:r w:rsidRPr="00153008">
        <w:rPr>
          <w:b/>
          <w:bCs/>
        </w:rPr>
        <w:t>Esketamine</w:t>
      </w:r>
      <w:proofErr w:type="spellEnd"/>
      <w:r w:rsidRPr="00153008">
        <w:rPr>
          <w:b/>
          <w:bCs/>
        </w:rPr>
        <w:t>, Ketamine</w:t>
      </w:r>
      <w:r w:rsidRPr="00153008">
        <w:t>; $150 for 40 or 60-minute appointments.</w:t>
      </w:r>
    </w:p>
    <w:p w14:paraId="4B0BE374" w14:textId="4C9D7D8A" w:rsidR="00153008" w:rsidRDefault="00153008" w:rsidP="00153008">
      <w:pPr>
        <w:pStyle w:val="ListParagraph"/>
        <w:numPr>
          <w:ilvl w:val="0"/>
          <w:numId w:val="7"/>
        </w:numPr>
      </w:pPr>
      <w:r w:rsidRPr="00153008">
        <w:t>Waiver: A full (100%) waiver may be granted upon attendance at the next scheduled appointment. No documentation is required.</w:t>
      </w:r>
    </w:p>
    <w:p w14:paraId="14B7F1B6" w14:textId="7141A89B" w:rsidR="00153008" w:rsidRDefault="00153008" w:rsidP="00153008">
      <w:pPr>
        <w:pStyle w:val="ListParagraph"/>
        <w:numPr>
          <w:ilvl w:val="0"/>
          <w:numId w:val="7"/>
        </w:numPr>
      </w:pPr>
      <w:r w:rsidRPr="00153008">
        <w:t xml:space="preserve">Emergency Waiver: A full (100%) waiver may be granted upon submitting the "RCN </w:t>
      </w:r>
      <w:proofErr w:type="spellStart"/>
      <w:r w:rsidRPr="00153008">
        <w:t>FeeWaiverRequestHardshipForm</w:t>
      </w:r>
      <w:proofErr w:type="spellEnd"/>
      <w:r w:rsidRPr="00153008">
        <w:t>" with the supporting documents</w:t>
      </w:r>
      <w:r>
        <w:t xml:space="preserve"> </w:t>
      </w:r>
      <w:r w:rsidRPr="00153008">
        <w:t>(e.g., hospitalization, ER visit, accident).</w:t>
      </w:r>
    </w:p>
    <w:p w14:paraId="11F3D5F3" w14:textId="77777777" w:rsidR="00153008" w:rsidRDefault="00153008" w:rsidP="00153008"/>
    <w:p w14:paraId="0D50D33C" w14:textId="77777777" w:rsidR="00153008" w:rsidRPr="00153008" w:rsidRDefault="00153008" w:rsidP="00153008">
      <w:pPr>
        <w:ind w:left="360"/>
        <w:rPr>
          <w:b/>
          <w:bCs/>
        </w:rPr>
      </w:pPr>
      <w:r w:rsidRPr="00153008">
        <w:rPr>
          <w:b/>
          <w:bCs/>
        </w:rPr>
        <w:t>2nd No-Show within a 12-Month Period</w:t>
      </w:r>
    </w:p>
    <w:p w14:paraId="083FA30D" w14:textId="77777777" w:rsidR="00153008" w:rsidRDefault="00153008" w:rsidP="00153008">
      <w:pPr>
        <w:pStyle w:val="ListParagraph"/>
        <w:numPr>
          <w:ilvl w:val="0"/>
          <w:numId w:val="9"/>
        </w:numPr>
      </w:pPr>
      <w:r w:rsidRPr="00153008">
        <w:t>Fee: $75 for 20-minute appointments, $75 for</w:t>
      </w:r>
      <w:r>
        <w:t xml:space="preserve"> </w:t>
      </w:r>
      <w:r w:rsidRPr="00153008">
        <w:rPr>
          <w:b/>
          <w:bCs/>
        </w:rPr>
        <w:t xml:space="preserve">TMS, </w:t>
      </w:r>
      <w:proofErr w:type="spellStart"/>
      <w:r w:rsidRPr="00153008">
        <w:rPr>
          <w:b/>
          <w:bCs/>
        </w:rPr>
        <w:t>Esketamine</w:t>
      </w:r>
      <w:proofErr w:type="spellEnd"/>
      <w:r w:rsidRPr="00153008">
        <w:rPr>
          <w:b/>
          <w:bCs/>
        </w:rPr>
        <w:t>, Ketamine</w:t>
      </w:r>
      <w:r w:rsidRPr="00153008">
        <w:t>; $150 for 40 or 60-minute appointments.</w:t>
      </w:r>
    </w:p>
    <w:p w14:paraId="13FC5F42" w14:textId="77777777" w:rsidR="00153008" w:rsidRDefault="00153008" w:rsidP="00153008">
      <w:pPr>
        <w:pStyle w:val="ListParagraph"/>
        <w:numPr>
          <w:ilvl w:val="0"/>
          <w:numId w:val="9"/>
        </w:numPr>
      </w:pPr>
      <w:r w:rsidRPr="00153008">
        <w:t>Waiver: A 50% waiver will be granted upon attendance at the next appointment. No documentation is required.</w:t>
      </w:r>
    </w:p>
    <w:p w14:paraId="61C9018E" w14:textId="77777777" w:rsidR="00153008" w:rsidRDefault="00153008" w:rsidP="00153008">
      <w:pPr>
        <w:pStyle w:val="ListParagraph"/>
        <w:numPr>
          <w:ilvl w:val="0"/>
          <w:numId w:val="9"/>
        </w:numPr>
      </w:pPr>
      <w:r w:rsidRPr="00153008">
        <w:t xml:space="preserve">Emergency Waiver: A full (100%) waiver may be granted upon submitting the "RCN </w:t>
      </w:r>
      <w:proofErr w:type="spellStart"/>
      <w:r w:rsidRPr="00153008">
        <w:t>FeeWaiverRequestHardshipForm</w:t>
      </w:r>
      <w:proofErr w:type="spellEnd"/>
      <w:r w:rsidRPr="00153008">
        <w:t>" with the supporting documents</w:t>
      </w:r>
      <w:r>
        <w:t xml:space="preserve"> </w:t>
      </w:r>
      <w:r w:rsidRPr="00153008">
        <w:t>(e.g., hospitalization, ER visit, accident)</w:t>
      </w:r>
    </w:p>
    <w:p w14:paraId="757EB02B" w14:textId="77777777" w:rsidR="00153008" w:rsidRDefault="00153008" w:rsidP="00153008"/>
    <w:p w14:paraId="7766D9D0" w14:textId="77777777" w:rsidR="00153008" w:rsidRPr="00153008" w:rsidRDefault="00153008" w:rsidP="00153008">
      <w:pPr>
        <w:ind w:left="360"/>
        <w:rPr>
          <w:b/>
          <w:bCs/>
        </w:rPr>
      </w:pPr>
      <w:r w:rsidRPr="00153008">
        <w:rPr>
          <w:b/>
          <w:bCs/>
        </w:rPr>
        <w:t>3rd No-Show within a 12-Month Period</w:t>
      </w:r>
    </w:p>
    <w:p w14:paraId="38DC235B" w14:textId="70452F66" w:rsidR="00153008" w:rsidRDefault="00153008" w:rsidP="00153008">
      <w:pPr>
        <w:pStyle w:val="ListParagraph"/>
        <w:numPr>
          <w:ilvl w:val="0"/>
          <w:numId w:val="11"/>
        </w:numPr>
      </w:pPr>
      <w:r w:rsidRPr="00153008">
        <w:t xml:space="preserve">Fee: $75 for 20-minute appointments, $75 </w:t>
      </w:r>
      <w:proofErr w:type="gramStart"/>
      <w:r w:rsidRPr="00153008">
        <w:t xml:space="preserve">for  </w:t>
      </w:r>
      <w:r w:rsidRPr="00153008">
        <w:rPr>
          <w:b/>
          <w:bCs/>
        </w:rPr>
        <w:t>TMS</w:t>
      </w:r>
      <w:proofErr w:type="gramEnd"/>
      <w:r w:rsidRPr="00153008">
        <w:rPr>
          <w:b/>
          <w:bCs/>
        </w:rPr>
        <w:t xml:space="preserve">, </w:t>
      </w:r>
      <w:proofErr w:type="spellStart"/>
      <w:r w:rsidRPr="00153008">
        <w:rPr>
          <w:b/>
          <w:bCs/>
        </w:rPr>
        <w:t>Esketamine</w:t>
      </w:r>
      <w:proofErr w:type="spellEnd"/>
      <w:r w:rsidRPr="00153008">
        <w:rPr>
          <w:b/>
          <w:bCs/>
        </w:rPr>
        <w:t>, Ketamine</w:t>
      </w:r>
      <w:r w:rsidRPr="00153008">
        <w:t>; $150 for 40 or 60-minute appointments.</w:t>
      </w:r>
    </w:p>
    <w:p w14:paraId="5CD4C750" w14:textId="77777777" w:rsidR="00153008" w:rsidRDefault="00153008" w:rsidP="00153008">
      <w:pPr>
        <w:pStyle w:val="ListParagraph"/>
        <w:numPr>
          <w:ilvl w:val="0"/>
          <w:numId w:val="11"/>
        </w:numPr>
      </w:pPr>
      <w:r w:rsidRPr="00153008">
        <w:t xml:space="preserve">Waiver: No </w:t>
      </w:r>
      <w:proofErr w:type="gramStart"/>
      <w:r w:rsidRPr="00153008">
        <w:t>waiver</w:t>
      </w:r>
      <w:proofErr w:type="gramEnd"/>
      <w:r w:rsidRPr="00153008">
        <w:t xml:space="preserve"> is available.</w:t>
      </w:r>
    </w:p>
    <w:p w14:paraId="3A3F9449" w14:textId="2E2FF297" w:rsidR="00153008" w:rsidRPr="00153008" w:rsidRDefault="00153008" w:rsidP="00153008">
      <w:pPr>
        <w:pStyle w:val="ListParagraph"/>
        <w:numPr>
          <w:ilvl w:val="0"/>
          <w:numId w:val="11"/>
        </w:numPr>
      </w:pPr>
      <w:r w:rsidRPr="00153008">
        <w:t xml:space="preserve">Emergency Waiver: A full (100%) waiver may be granted upon submitting the "RCN </w:t>
      </w:r>
      <w:proofErr w:type="spellStart"/>
      <w:r w:rsidRPr="00153008">
        <w:t>FeeWaiverRequestHardshipForm</w:t>
      </w:r>
      <w:proofErr w:type="spellEnd"/>
      <w:r w:rsidRPr="00153008">
        <w:t>" with the supporting documents</w:t>
      </w:r>
      <w:r>
        <w:t xml:space="preserve"> </w:t>
      </w:r>
      <w:r w:rsidRPr="00153008">
        <w:t>(e.g., hospitalization, ER visit, accident)</w:t>
      </w:r>
    </w:p>
    <w:p w14:paraId="342875A2" w14:textId="77777777" w:rsidR="00153008" w:rsidRPr="00153008" w:rsidRDefault="00153008" w:rsidP="00153008">
      <w:pPr>
        <w:ind w:left="360"/>
      </w:pPr>
    </w:p>
    <w:p w14:paraId="16A5BF31" w14:textId="4FAEDD00" w:rsidR="00153008" w:rsidRDefault="00153008" w:rsidP="00153008">
      <w:pPr>
        <w:ind w:left="360"/>
      </w:pPr>
      <w:r w:rsidRPr="00153008">
        <w:rPr>
          <w:b/>
          <w:bCs/>
        </w:rPr>
        <w:t>Please note</w:t>
      </w:r>
      <w:r w:rsidRPr="00153008">
        <w:t>:</w:t>
      </w:r>
      <w:r>
        <w:t xml:space="preserve"> Waivers</w:t>
      </w:r>
      <w:r w:rsidRPr="00153008">
        <w:t xml:space="preserve"> are discretionary and may be granted on a case-by-case basis to ensure fair treatment for all patients.</w:t>
      </w:r>
    </w:p>
    <w:p w14:paraId="70DDA4B3" w14:textId="77777777" w:rsidR="00153008" w:rsidRPr="00153008" w:rsidRDefault="00153008" w:rsidP="00153008">
      <w:pPr>
        <w:ind w:left="360"/>
      </w:pPr>
    </w:p>
    <w:p w14:paraId="6FA4807B" w14:textId="77777777" w:rsidR="00153008" w:rsidRPr="00153008" w:rsidRDefault="00153008" w:rsidP="00153008">
      <w:pPr>
        <w:ind w:left="360"/>
        <w:rPr>
          <w:b/>
          <w:bCs/>
        </w:rPr>
      </w:pPr>
      <w:r w:rsidRPr="00153008">
        <w:rPr>
          <w:b/>
          <w:bCs/>
        </w:rPr>
        <w:t>Cancellation and Rescheduling Notice Requirement</w:t>
      </w:r>
    </w:p>
    <w:p w14:paraId="14E1EC0B" w14:textId="77777777" w:rsidR="00153008" w:rsidRPr="00153008" w:rsidRDefault="00153008" w:rsidP="00153008">
      <w:pPr>
        <w:ind w:left="720"/>
      </w:pPr>
      <w:r w:rsidRPr="00153008">
        <w:t>To help us provide timely care to all patients, we require at least 24 business hours’ notice for any cancellations or rescheduling requests.</w:t>
      </w:r>
    </w:p>
    <w:p w14:paraId="3A291120" w14:textId="77777777" w:rsidR="00153008" w:rsidRPr="00153008" w:rsidRDefault="00153008" w:rsidP="00153008">
      <w:pPr>
        <w:ind w:left="720"/>
      </w:pPr>
      <w:r w:rsidRPr="00153008">
        <w:t>Patients who are unable to attend an appointment are encouraged to notify our clinic as soon as possible. Failure to provide timely notice may result in a fee as outlined above.</w:t>
      </w:r>
    </w:p>
    <w:p w14:paraId="5482DC21" w14:textId="11753F99" w:rsidR="00153008" w:rsidRPr="00153008" w:rsidRDefault="00153008" w:rsidP="00153008">
      <w:pPr>
        <w:ind w:left="720"/>
      </w:pPr>
      <w:r w:rsidRPr="00153008">
        <w:t>Patients with excessive RCNs may be marked inactive.</w:t>
      </w:r>
      <w:r>
        <w:t xml:space="preserve">  </w:t>
      </w:r>
      <w:r w:rsidRPr="00153008">
        <w:t>If marked inactive, patients will not be re-scheduled unless:</w:t>
      </w:r>
    </w:p>
    <w:p w14:paraId="3B43C038" w14:textId="77777777" w:rsidR="00153008" w:rsidRPr="00153008" w:rsidRDefault="00153008" w:rsidP="00153008">
      <w:pPr>
        <w:numPr>
          <w:ilvl w:val="0"/>
          <w:numId w:val="6"/>
        </w:numPr>
        <w:spacing w:before="100" w:beforeAutospacing="1" w:after="100" w:afterAutospacing="1"/>
        <w:ind w:left="1320"/>
      </w:pPr>
      <w:r w:rsidRPr="00153008">
        <w:lastRenderedPageBreak/>
        <w:t>There is an active credit card on file</w:t>
      </w:r>
    </w:p>
    <w:p w14:paraId="31320334" w14:textId="77777777" w:rsidR="00153008" w:rsidRPr="00153008" w:rsidRDefault="00153008" w:rsidP="00153008">
      <w:pPr>
        <w:numPr>
          <w:ilvl w:val="0"/>
          <w:numId w:val="6"/>
        </w:numPr>
        <w:spacing w:before="100" w:beforeAutospacing="1" w:after="100" w:afterAutospacing="1"/>
        <w:ind w:left="1320"/>
      </w:pPr>
      <w:r w:rsidRPr="00153008">
        <w:t>The patient has signed the credit card consent form</w:t>
      </w:r>
    </w:p>
    <w:p w14:paraId="66B1BA14" w14:textId="77777777" w:rsidR="00153008" w:rsidRPr="00153008" w:rsidRDefault="00153008" w:rsidP="00153008">
      <w:pPr>
        <w:numPr>
          <w:ilvl w:val="0"/>
          <w:numId w:val="6"/>
        </w:numPr>
        <w:spacing w:before="100" w:beforeAutospacing="1" w:after="100" w:afterAutospacing="1"/>
        <w:ind w:left="1320"/>
      </w:pPr>
      <w:r w:rsidRPr="00153008">
        <w:t>They have $0.00 balance on their account</w:t>
      </w:r>
    </w:p>
    <w:p w14:paraId="4B3C8973" w14:textId="77777777" w:rsidR="00153008" w:rsidRPr="00153008" w:rsidRDefault="00153008" w:rsidP="00153008">
      <w:pPr>
        <w:numPr>
          <w:ilvl w:val="0"/>
          <w:numId w:val="6"/>
        </w:numPr>
        <w:spacing w:before="100" w:beforeAutospacing="1" w:after="100" w:afterAutospacing="1"/>
        <w:ind w:left="1320"/>
      </w:pPr>
      <w:r w:rsidRPr="00153008">
        <w:t xml:space="preserve">They have been re-approved by their provider and </w:t>
      </w:r>
      <w:proofErr w:type="spellStart"/>
      <w:r w:rsidRPr="00153008">
        <w:t>Yra</w:t>
      </w:r>
      <w:proofErr w:type="spellEnd"/>
    </w:p>
    <w:p w14:paraId="6C71E81A" w14:textId="77777777" w:rsidR="00153008" w:rsidRPr="00153008" w:rsidRDefault="00153008" w:rsidP="00153008">
      <w:pPr>
        <w:numPr>
          <w:ilvl w:val="0"/>
          <w:numId w:val="6"/>
        </w:numPr>
        <w:spacing w:before="100" w:beforeAutospacing="1" w:after="100" w:afterAutospacing="1"/>
        <w:ind w:left="1320"/>
      </w:pPr>
      <w:proofErr w:type="gramStart"/>
      <w:r w:rsidRPr="00153008">
        <w:t>Patient acknowledges</w:t>
      </w:r>
      <w:proofErr w:type="gramEnd"/>
      <w:r w:rsidRPr="00153008">
        <w:t xml:space="preserve"> that if RCN in </w:t>
      </w:r>
      <w:proofErr w:type="gramStart"/>
      <w:r w:rsidRPr="00153008">
        <w:t>next</w:t>
      </w:r>
      <w:proofErr w:type="gramEnd"/>
      <w:r w:rsidRPr="00153008">
        <w:t xml:space="preserve"> 12 months, </w:t>
      </w:r>
      <w:proofErr w:type="gramStart"/>
      <w:r w:rsidRPr="00153008">
        <w:t>patient</w:t>
      </w:r>
      <w:proofErr w:type="gramEnd"/>
      <w:r w:rsidRPr="00153008">
        <w:t xml:space="preserve"> may be discharged from the clinic.</w:t>
      </w:r>
    </w:p>
    <w:p w14:paraId="68E219CA" w14:textId="77777777" w:rsidR="00153008" w:rsidRPr="00153008" w:rsidRDefault="00153008" w:rsidP="00153008">
      <w:pPr>
        <w:ind w:left="720"/>
      </w:pPr>
      <w:r w:rsidRPr="00153008">
        <w:t>We appreciate your understanding and cooperation.</w:t>
      </w:r>
    </w:p>
    <w:p w14:paraId="45044D66" w14:textId="02611C79" w:rsidR="00153008" w:rsidRPr="00153008" w:rsidRDefault="00153008" w:rsidP="00153008"/>
    <w:p w14:paraId="511A14ED" w14:textId="77777777" w:rsidR="00153008" w:rsidRPr="00153008" w:rsidRDefault="00153008" w:rsidP="00153008">
      <w:pPr>
        <w:ind w:left="360"/>
      </w:pPr>
      <w:r w:rsidRPr="00153008">
        <w:rPr>
          <w:b/>
          <w:bCs/>
        </w:rPr>
        <w:t>Clinic Scheduling Protocol</w:t>
      </w:r>
    </w:p>
    <w:p w14:paraId="70A19DE3" w14:textId="77777777" w:rsidR="00153008" w:rsidRPr="00153008" w:rsidRDefault="00153008" w:rsidP="00153008">
      <w:pPr>
        <w:ind w:left="720"/>
      </w:pPr>
      <w:r w:rsidRPr="00153008">
        <w:t>Our clinic does not engage in double-booking. Each appointment time is reserved exclusively for the individual patient, and late cancellations or no-shows limit access to care for other patients.</w:t>
      </w:r>
    </w:p>
    <w:p w14:paraId="03330CD9" w14:textId="628E0EC5" w:rsidR="00153008" w:rsidRPr="00153008" w:rsidRDefault="00153008" w:rsidP="00153008">
      <w:pPr>
        <w:ind w:left="360"/>
      </w:pPr>
    </w:p>
    <w:p w14:paraId="58808C37" w14:textId="77777777" w:rsidR="00153008" w:rsidRPr="00153008" w:rsidRDefault="00153008" w:rsidP="00153008">
      <w:pPr>
        <w:ind w:left="360"/>
      </w:pPr>
      <w:r w:rsidRPr="00153008">
        <w:rPr>
          <w:b/>
          <w:bCs/>
        </w:rPr>
        <w:t>Non-Sufficient Funds (NSF) fees</w:t>
      </w:r>
    </w:p>
    <w:p w14:paraId="568FFA57" w14:textId="77777777" w:rsidR="00153008" w:rsidRPr="00153008" w:rsidRDefault="00153008" w:rsidP="00153008">
      <w:pPr>
        <w:ind w:left="720"/>
      </w:pPr>
      <w:r w:rsidRPr="00153008">
        <w:t>We charge NSF fees when payment processors, for example our bank or credit card merchants, charge us the fee for failed transactions, especially for bounced checks or declined ACH payments. Our Staff spends time tracking the failed payment, contacting the patient, and reprocessing the transaction, diverting time from patient care and operations.</w:t>
      </w:r>
    </w:p>
    <w:p w14:paraId="6C83BCB6" w14:textId="77777777" w:rsidR="00153008" w:rsidRPr="00153008" w:rsidRDefault="00153008" w:rsidP="00153008">
      <w:pPr>
        <w:ind w:left="720"/>
      </w:pPr>
      <w:r w:rsidRPr="00153008">
        <w:t>$25.00 fee is applied if a payment is declined due to insufficient funds. This fee covers administrative costs and charges incurred by the clinic from our payment processor.</w:t>
      </w:r>
    </w:p>
    <w:p w14:paraId="14EB7B8B" w14:textId="7ED979FA" w:rsidR="00153008" w:rsidRPr="00153008" w:rsidRDefault="00153008" w:rsidP="00153008">
      <w:pPr>
        <w:ind w:left="360"/>
      </w:pPr>
    </w:p>
    <w:p w14:paraId="039D9BAD" w14:textId="77777777" w:rsidR="00C177F9" w:rsidRPr="00153008" w:rsidRDefault="00C177F9" w:rsidP="00C177F9">
      <w:pPr>
        <w:pStyle w:val="NoSpacing"/>
        <w:jc w:val="center"/>
        <w:rPr>
          <w:rFonts w:ascii="Times New Roman" w:hAnsi="Times New Roman"/>
          <w:b/>
          <w:sz w:val="24"/>
          <w:szCs w:val="24"/>
        </w:rPr>
      </w:pPr>
    </w:p>
    <w:p w14:paraId="37A29A35" w14:textId="2A869CEA" w:rsidR="00144353" w:rsidRPr="00153008" w:rsidRDefault="00144353" w:rsidP="00B72CE7">
      <w:pPr>
        <w:jc w:val="center"/>
        <w:rPr>
          <w:rFonts w:eastAsia="Cambria"/>
          <w:b/>
          <w:bCs/>
          <w:i/>
          <w:iCs/>
        </w:rPr>
      </w:pPr>
      <w:r w:rsidRPr="00153008">
        <w:rPr>
          <w:b/>
          <w:bCs/>
        </w:rPr>
        <w:t xml:space="preserve">I have reviewed and </w:t>
      </w:r>
      <w:proofErr w:type="gramStart"/>
      <w:r w:rsidRPr="00153008">
        <w:rPr>
          <w:b/>
          <w:bCs/>
        </w:rPr>
        <w:t>accept</w:t>
      </w:r>
      <w:proofErr w:type="gramEnd"/>
      <w:r w:rsidRPr="00153008">
        <w:rPr>
          <w:b/>
          <w:bCs/>
        </w:rPr>
        <w:t xml:space="preserve"> the terms of Mid Cities Psychiatry’s </w:t>
      </w:r>
      <w:r w:rsidR="00B72CE7" w:rsidRPr="00153008">
        <w:rPr>
          <w:b/>
          <w:bCs/>
        </w:rPr>
        <w:t xml:space="preserve">RCN (Rescheduling/Cancellation/No-Show) </w:t>
      </w:r>
      <w:r w:rsidR="00B72CE7">
        <w:rPr>
          <w:b/>
          <w:bCs/>
        </w:rPr>
        <w:t>P</w:t>
      </w:r>
      <w:r w:rsidR="00B72CE7" w:rsidRPr="00153008">
        <w:rPr>
          <w:b/>
          <w:bCs/>
        </w:rPr>
        <w:t>olicy</w:t>
      </w:r>
      <w:r w:rsidRPr="00153008">
        <w:rPr>
          <w:b/>
          <w:bCs/>
        </w:rPr>
        <w:t xml:space="preserve">. I agree to adhere to and be legally bound by these terms. I acknowledge that Mid Cities Psychiatry retains the right to amend its </w:t>
      </w:r>
      <w:r w:rsidR="00B72CE7" w:rsidRPr="00153008">
        <w:rPr>
          <w:b/>
          <w:bCs/>
        </w:rPr>
        <w:t xml:space="preserve">RCN (Rescheduling/Cancellation/No-Show) </w:t>
      </w:r>
      <w:r w:rsidR="00B72CE7">
        <w:rPr>
          <w:b/>
          <w:bCs/>
        </w:rPr>
        <w:t>P</w:t>
      </w:r>
      <w:r w:rsidR="00B72CE7" w:rsidRPr="00153008">
        <w:rPr>
          <w:b/>
          <w:bCs/>
        </w:rPr>
        <w:t>olicy</w:t>
      </w:r>
      <w:r w:rsidR="00B72CE7">
        <w:rPr>
          <w:b/>
          <w:bCs/>
        </w:rPr>
        <w:t xml:space="preserve"> </w:t>
      </w:r>
      <w:r w:rsidRPr="00153008">
        <w:rPr>
          <w:b/>
          <w:bCs/>
        </w:rPr>
        <w:t>at any time.</w:t>
      </w:r>
    </w:p>
    <w:p w14:paraId="7402C063" w14:textId="77777777" w:rsidR="00144353" w:rsidRPr="00153008" w:rsidRDefault="00144353" w:rsidP="00144353"/>
    <w:p w14:paraId="14E05A6C" w14:textId="77777777" w:rsidR="00BF5F2C" w:rsidRPr="00153008" w:rsidRDefault="00BF5F2C" w:rsidP="00BF5F2C">
      <w:pPr>
        <w:pBdr>
          <w:top w:val="nil"/>
          <w:left w:val="nil"/>
          <w:bottom w:val="nil"/>
          <w:right w:val="nil"/>
          <w:between w:val="nil"/>
        </w:pBdr>
        <w:rPr>
          <w:rFonts w:eastAsia="Cambria"/>
          <w:b/>
          <w:bCs/>
          <w:i/>
          <w:iCs/>
        </w:rPr>
      </w:pPr>
    </w:p>
    <w:sectPr w:rsidR="00BF5F2C" w:rsidRPr="00153008" w:rsidSect="00C177F9">
      <w:headerReference w:type="default" r:id="rId8"/>
      <w:footerReference w:type="default" r:id="rId9"/>
      <w:pgSz w:w="12240" w:h="15840" w:code="1"/>
      <w:pgMar w:top="1440" w:right="1440" w:bottom="1440" w:left="144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CEAD" w14:textId="77777777" w:rsidR="00843EDA" w:rsidRDefault="00843EDA">
      <w:r>
        <w:separator/>
      </w:r>
    </w:p>
  </w:endnote>
  <w:endnote w:type="continuationSeparator" w:id="0">
    <w:p w14:paraId="19894D85" w14:textId="77777777" w:rsidR="00843EDA" w:rsidRDefault="0084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Optim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2966722"/>
      <w:docPartObj>
        <w:docPartGallery w:val="Page Numbers (Bottom of Page)"/>
        <w:docPartUnique/>
      </w:docPartObj>
    </w:sdtPr>
    <w:sdtEndPr>
      <w:rPr>
        <w:noProof/>
      </w:rPr>
    </w:sdtEndPr>
    <w:sdtContent>
      <w:tbl>
        <w:tblPr>
          <w:tblW w:w="9864" w:type="dxa"/>
          <w:jc w:val="center"/>
          <w:tblLayout w:type="fixed"/>
          <w:tblLook w:val="0000" w:firstRow="0" w:lastRow="0" w:firstColumn="0" w:lastColumn="0" w:noHBand="0" w:noVBand="0"/>
        </w:tblPr>
        <w:tblGrid>
          <w:gridCol w:w="5636"/>
          <w:gridCol w:w="4228"/>
        </w:tblGrid>
        <w:tr w:rsidR="00153008" w14:paraId="6556E084" w14:textId="77777777" w:rsidTr="006E3B0D">
          <w:trPr>
            <w:jc w:val="center"/>
          </w:trPr>
          <w:tc>
            <w:tcPr>
              <w:tcW w:w="5636" w:type="dxa"/>
              <w:vAlign w:val="center"/>
            </w:tcPr>
            <w:p w14:paraId="706A0829" w14:textId="58F91561" w:rsidR="00153008" w:rsidRDefault="00153008" w:rsidP="00153008">
              <w:pPr>
                <w:rPr>
                  <w:rFonts w:ascii="Tahoma" w:hAnsi="Tahoma" w:cs="Tahoma"/>
                  <w:b/>
                  <w:bCs/>
                  <w:color w:val="FF0000"/>
                  <w:sz w:val="18"/>
                  <w:szCs w:val="18"/>
                </w:rPr>
              </w:pPr>
              <w:r>
                <w:rPr>
                  <w:rFonts w:ascii="Tahoma" w:hAnsi="Tahoma" w:cs="Tahoma"/>
                  <w:b/>
                  <w:bCs/>
                  <w:smallCaps/>
                  <w:color w:val="FF0000"/>
                  <w:sz w:val="18"/>
                  <w:szCs w:val="18"/>
                </w:rPr>
                <w:t>Mid Cities Psychiatry</w:t>
              </w:r>
            </w:p>
            <w:p w14:paraId="2EC7FBDD" w14:textId="77777777" w:rsidR="00153008" w:rsidRPr="00DD7527" w:rsidRDefault="00153008" w:rsidP="00153008">
              <w:pPr>
                <w:rPr>
                  <w:rFonts w:ascii="Tahoma" w:hAnsi="Tahoma" w:cs="Tahoma"/>
                  <w:color w:val="0070C0"/>
                  <w:sz w:val="18"/>
                  <w:szCs w:val="18"/>
                </w:rPr>
              </w:pPr>
              <w:r>
                <w:rPr>
                  <w:rFonts w:ascii="Tahoma" w:hAnsi="Tahoma" w:cs="Tahoma"/>
                  <w:color w:val="0070C0"/>
                  <w:sz w:val="18"/>
                  <w:szCs w:val="18"/>
                </w:rPr>
                <w:t>200 Westpark Way, Euless, TX 76040</w:t>
              </w:r>
            </w:p>
            <w:p w14:paraId="49162793" w14:textId="77777777" w:rsidR="00153008" w:rsidRPr="00DD7527" w:rsidRDefault="00153008" w:rsidP="00153008">
              <w:pPr>
                <w:rPr>
                  <w:rFonts w:ascii="Tahoma" w:hAnsi="Tahoma" w:cs="Tahoma"/>
                  <w:color w:val="0070C0"/>
                  <w:sz w:val="18"/>
                  <w:szCs w:val="18"/>
                </w:rPr>
              </w:pPr>
              <w:r w:rsidRPr="00DD7527">
                <w:rPr>
                  <w:rFonts w:ascii="Tahoma" w:hAnsi="Tahoma" w:cs="Tahoma"/>
                  <w:color w:val="0070C0"/>
                  <w:sz w:val="18"/>
                  <w:szCs w:val="18"/>
                </w:rPr>
                <w:t>office</w:t>
              </w:r>
              <w:proofErr w:type="gramStart"/>
              <w:r w:rsidRPr="00DD7527">
                <w:rPr>
                  <w:rFonts w:ascii="Tahoma" w:hAnsi="Tahoma" w:cs="Tahoma"/>
                  <w:color w:val="0070C0"/>
                  <w:sz w:val="18"/>
                  <w:szCs w:val="18"/>
                </w:rPr>
                <w:t>:  (</w:t>
              </w:r>
              <w:proofErr w:type="gramEnd"/>
              <w:r>
                <w:rPr>
                  <w:rFonts w:ascii="Tahoma" w:hAnsi="Tahoma" w:cs="Tahoma"/>
                  <w:color w:val="0070C0"/>
                  <w:sz w:val="18"/>
                  <w:szCs w:val="18"/>
                </w:rPr>
                <w:t xml:space="preserve">817) </w:t>
              </w:r>
              <w:r w:rsidRPr="0021158C">
                <w:rPr>
                  <w:rFonts w:ascii="Tahoma" w:hAnsi="Tahoma" w:cs="Tahoma"/>
                  <w:color w:val="0070C0"/>
                  <w:sz w:val="18"/>
                  <w:szCs w:val="18"/>
                </w:rPr>
                <w:t>48</w:t>
              </w:r>
              <w:r>
                <w:rPr>
                  <w:rFonts w:ascii="Tahoma" w:hAnsi="Tahoma" w:cs="Tahoma"/>
                  <w:color w:val="0070C0"/>
                  <w:sz w:val="18"/>
                  <w:szCs w:val="18"/>
                </w:rPr>
                <w:t>8</w:t>
              </w:r>
              <w:r w:rsidRPr="0021158C">
                <w:rPr>
                  <w:rFonts w:ascii="Tahoma" w:hAnsi="Tahoma" w:cs="Tahoma"/>
                  <w:color w:val="0070C0"/>
                  <w:sz w:val="18"/>
                  <w:szCs w:val="18"/>
                </w:rPr>
                <w:t>-</w:t>
              </w:r>
              <w:r>
                <w:rPr>
                  <w:rFonts w:ascii="Tahoma" w:hAnsi="Tahoma" w:cs="Tahoma"/>
                  <w:color w:val="0070C0"/>
                  <w:sz w:val="18"/>
                  <w:szCs w:val="18"/>
                </w:rPr>
                <w:t>8998</w:t>
              </w:r>
              <w:r w:rsidRPr="00DD7527">
                <w:rPr>
                  <w:rFonts w:ascii="Tahoma" w:hAnsi="Tahoma" w:cs="Tahoma"/>
                  <w:color w:val="0070C0"/>
                  <w:sz w:val="18"/>
                  <w:szCs w:val="18"/>
                </w:rPr>
                <w:t xml:space="preserve"> &lt;&gt; fax: (855) 295-2686</w:t>
              </w:r>
            </w:p>
            <w:p w14:paraId="71F90785" w14:textId="77777777" w:rsidR="00153008" w:rsidRPr="00DD7527" w:rsidRDefault="00153008" w:rsidP="00153008">
              <w:pPr>
                <w:spacing w:before="20" w:after="20"/>
                <w:rPr>
                  <w:rFonts w:ascii="Tahoma" w:hAnsi="Tahoma" w:cs="Tahoma"/>
                  <w:sz w:val="18"/>
                  <w:szCs w:val="18"/>
                </w:rPr>
              </w:pPr>
              <w:hyperlink r:id="rId1" w:history="1">
                <w:r w:rsidRPr="00266F28">
                  <w:rPr>
                    <w:rStyle w:val="Hyperlink"/>
                    <w:rFonts w:ascii="Tahoma" w:hAnsi="Tahoma" w:cs="Tahoma"/>
                    <w:sz w:val="18"/>
                    <w:szCs w:val="18"/>
                  </w:rPr>
                  <w:t>info@MidCitiesPsychiatry.com</w:t>
                </w:r>
              </w:hyperlink>
              <w:r>
                <w:rPr>
                  <w:rFonts w:ascii="Tahoma" w:hAnsi="Tahoma" w:cs="Tahoma"/>
                  <w:color w:val="0070C0"/>
                  <w:sz w:val="18"/>
                  <w:szCs w:val="18"/>
                </w:rPr>
                <w:t xml:space="preserve"> &lt;&gt; </w:t>
              </w:r>
              <w:r w:rsidRPr="00DD7527">
                <w:rPr>
                  <w:rFonts w:ascii="Tahoma" w:hAnsi="Tahoma" w:cs="Tahoma"/>
                  <w:color w:val="0070C0"/>
                  <w:sz w:val="18"/>
                  <w:szCs w:val="18"/>
                </w:rPr>
                <w:t>www.</w:t>
              </w:r>
              <w:r w:rsidRPr="0084497D">
                <w:t xml:space="preserve"> </w:t>
              </w:r>
              <w:r w:rsidRPr="00222404">
                <w:rPr>
                  <w:rFonts w:ascii="Tahoma" w:hAnsi="Tahoma" w:cs="Tahoma"/>
                  <w:color w:val="0070C0"/>
                  <w:sz w:val="18"/>
                  <w:szCs w:val="18"/>
                </w:rPr>
                <w:t>MidCitiesPsychiatry.co</w:t>
              </w:r>
              <w:r>
                <w:rPr>
                  <w:rFonts w:ascii="Tahoma" w:hAnsi="Tahoma" w:cs="Tahoma"/>
                  <w:color w:val="0070C0"/>
                  <w:sz w:val="18"/>
                  <w:szCs w:val="18"/>
                </w:rPr>
                <w:t>m</w:t>
              </w:r>
            </w:p>
          </w:tc>
          <w:tc>
            <w:tcPr>
              <w:tcW w:w="4228" w:type="dxa"/>
              <w:vAlign w:val="center"/>
            </w:tcPr>
            <w:p w14:paraId="79A26057" w14:textId="77777777" w:rsidR="00153008" w:rsidRDefault="00153008" w:rsidP="00153008">
              <w:pPr>
                <w:pStyle w:val="Heading1"/>
                <w:spacing w:before="20" w:after="20"/>
                <w:jc w:val="right"/>
                <w:rPr>
                  <w:lang w:eastAsia="ko-KR"/>
                </w:rPr>
              </w:pPr>
              <w:r>
                <w:rPr>
                  <w:rFonts w:ascii="Tahoma" w:hAnsi="Tahoma" w:cs="Tahoma"/>
                  <w:color w:val="FF0000"/>
                  <w:sz w:val="44"/>
                </w:rPr>
                <w:t>Seema Kazi, MD</w:t>
              </w:r>
            </w:p>
          </w:tc>
        </w:tr>
      </w:tbl>
      <w:p w14:paraId="0C5904A0" w14:textId="39A05F0A" w:rsidR="00C55089" w:rsidRDefault="00153008" w:rsidP="00153008">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0EBF" w14:textId="77777777" w:rsidR="00843EDA" w:rsidRDefault="00843EDA">
      <w:r>
        <w:separator/>
      </w:r>
    </w:p>
  </w:footnote>
  <w:footnote w:type="continuationSeparator" w:id="0">
    <w:p w14:paraId="55C9C4AC" w14:textId="77777777" w:rsidR="00843EDA" w:rsidRDefault="00843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144C" w14:textId="57F93368" w:rsidR="006E2976" w:rsidRDefault="007843EC" w:rsidP="006E2976">
    <w:pPr>
      <w:pStyle w:val="Header"/>
      <w:tabs>
        <w:tab w:val="left" w:pos="2970"/>
        <w:tab w:val="center" w:pos="4680"/>
      </w:tabs>
      <w:rPr>
        <w:rFonts w:ascii="Tahoma" w:hAnsi="Tahoma" w:cs="Tahoma"/>
        <w:b/>
        <w:bCs/>
        <w:color w:val="FF0000"/>
        <w:sz w:val="24"/>
      </w:rPr>
    </w:pPr>
    <w:r>
      <w:rPr>
        <w:noProof/>
      </w:rPr>
      <w:drawing>
        <wp:anchor distT="0" distB="0" distL="114300" distR="114300" simplePos="0" relativeHeight="251657728" behindDoc="1" locked="0" layoutInCell="1" allowOverlap="1" wp14:anchorId="2180FB92" wp14:editId="6B1E9825">
          <wp:simplePos x="0" y="0"/>
          <wp:positionH relativeFrom="column">
            <wp:posOffset>5459969</wp:posOffset>
          </wp:positionH>
          <wp:positionV relativeFrom="paragraph">
            <wp:posOffset>81280</wp:posOffset>
          </wp:positionV>
          <wp:extent cx="1052830" cy="615315"/>
          <wp:effectExtent l="0" t="0" r="0" b="0"/>
          <wp:wrapTight wrapText="bothSides">
            <wp:wrapPolygon edited="0">
              <wp:start x="3127" y="0"/>
              <wp:lineTo x="0" y="17387"/>
              <wp:lineTo x="0" y="20731"/>
              <wp:lineTo x="12507" y="20731"/>
              <wp:lineTo x="21105" y="20731"/>
              <wp:lineTo x="21105" y="18056"/>
              <wp:lineTo x="17978" y="0"/>
              <wp:lineTo x="3127"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86BCC" w14:textId="77777777" w:rsidR="006E2976" w:rsidRDefault="006E2976" w:rsidP="006E2976">
    <w:pPr>
      <w:pStyle w:val="Header"/>
      <w:tabs>
        <w:tab w:val="left" w:pos="2970"/>
        <w:tab w:val="center" w:pos="4680"/>
      </w:tabs>
      <w:rPr>
        <w:rFonts w:ascii="Tahoma" w:hAnsi="Tahoma" w:cs="Tahoma"/>
        <w:b/>
        <w:bCs/>
        <w:color w:val="FF0000"/>
        <w:sz w:val="24"/>
      </w:rPr>
    </w:pPr>
  </w:p>
  <w:p w14:paraId="095C2FD4" w14:textId="77777777" w:rsidR="0021158C" w:rsidRDefault="0021158C" w:rsidP="006E2976">
    <w:pPr>
      <w:pStyle w:val="Header"/>
      <w:tabs>
        <w:tab w:val="left" w:pos="2970"/>
        <w:tab w:val="center" w:pos="4680"/>
      </w:tabs>
      <w:rPr>
        <w:rFonts w:ascii="Tahoma" w:hAnsi="Tahoma" w:cs="Tahoma"/>
        <w:b/>
        <w:bCs/>
        <w:color w:val="FF0000"/>
        <w:sz w:val="24"/>
      </w:rPr>
    </w:pPr>
  </w:p>
  <w:p w14:paraId="1FE820F2" w14:textId="77777777" w:rsidR="006E2976" w:rsidRDefault="006E2976" w:rsidP="006E2976">
    <w:pPr>
      <w:pStyle w:val="Header"/>
      <w:tabs>
        <w:tab w:val="left" w:pos="2970"/>
        <w:tab w:val="center" w:pos="4680"/>
      </w:tabs>
      <w:rPr>
        <w:rFonts w:ascii="Tahoma" w:hAnsi="Tahoma" w:cs="Tahoma"/>
        <w:b/>
        <w:bCs/>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A0A"/>
    <w:multiLevelType w:val="hybridMultilevel"/>
    <w:tmpl w:val="6F22D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544CB"/>
    <w:multiLevelType w:val="multilevel"/>
    <w:tmpl w:val="B4E8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7595F"/>
    <w:multiLevelType w:val="hybridMultilevel"/>
    <w:tmpl w:val="729C3A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D7787"/>
    <w:multiLevelType w:val="hybridMultilevel"/>
    <w:tmpl w:val="6CCC33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82A4A"/>
    <w:multiLevelType w:val="multilevel"/>
    <w:tmpl w:val="30A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34EC4"/>
    <w:multiLevelType w:val="hybridMultilevel"/>
    <w:tmpl w:val="DC7E8E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20ACE"/>
    <w:multiLevelType w:val="hybridMultilevel"/>
    <w:tmpl w:val="8630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F68CB"/>
    <w:multiLevelType w:val="hybridMultilevel"/>
    <w:tmpl w:val="F24840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B65871"/>
    <w:multiLevelType w:val="multilevel"/>
    <w:tmpl w:val="857C7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A7132"/>
    <w:multiLevelType w:val="multilevel"/>
    <w:tmpl w:val="AC10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557F7"/>
    <w:multiLevelType w:val="multilevel"/>
    <w:tmpl w:val="D1B4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487765">
    <w:abstractNumId w:val="4"/>
  </w:num>
  <w:num w:numId="2" w16cid:durableId="1893350747">
    <w:abstractNumId w:val="6"/>
  </w:num>
  <w:num w:numId="3" w16cid:durableId="268241346">
    <w:abstractNumId w:val="8"/>
  </w:num>
  <w:num w:numId="4" w16cid:durableId="86705302">
    <w:abstractNumId w:val="1"/>
  </w:num>
  <w:num w:numId="5" w16cid:durableId="425469440">
    <w:abstractNumId w:val="9"/>
  </w:num>
  <w:num w:numId="6" w16cid:durableId="1129281039">
    <w:abstractNumId w:val="10"/>
  </w:num>
  <w:num w:numId="7" w16cid:durableId="707265569">
    <w:abstractNumId w:val="3"/>
  </w:num>
  <w:num w:numId="8" w16cid:durableId="144469608">
    <w:abstractNumId w:val="5"/>
  </w:num>
  <w:num w:numId="9" w16cid:durableId="468674048">
    <w:abstractNumId w:val="7"/>
  </w:num>
  <w:num w:numId="10" w16cid:durableId="1699238074">
    <w:abstractNumId w:val="2"/>
  </w:num>
  <w:num w:numId="11" w16cid:durableId="191970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C2"/>
    <w:rsid w:val="00003115"/>
    <w:rsid w:val="000144F1"/>
    <w:rsid w:val="0002715B"/>
    <w:rsid w:val="000337B5"/>
    <w:rsid w:val="00034A2D"/>
    <w:rsid w:val="000478A2"/>
    <w:rsid w:val="000522B6"/>
    <w:rsid w:val="0006482E"/>
    <w:rsid w:val="000818E9"/>
    <w:rsid w:val="00090E94"/>
    <w:rsid w:val="000A1C88"/>
    <w:rsid w:val="000B7F18"/>
    <w:rsid w:val="000E4E65"/>
    <w:rsid w:val="000F6D00"/>
    <w:rsid w:val="001340FA"/>
    <w:rsid w:val="00144353"/>
    <w:rsid w:val="00146934"/>
    <w:rsid w:val="00153008"/>
    <w:rsid w:val="00175D57"/>
    <w:rsid w:val="00187F8C"/>
    <w:rsid w:val="001A3D36"/>
    <w:rsid w:val="001A4A3A"/>
    <w:rsid w:val="001F58BE"/>
    <w:rsid w:val="002076E5"/>
    <w:rsid w:val="0021158C"/>
    <w:rsid w:val="00222404"/>
    <w:rsid w:val="002320B3"/>
    <w:rsid w:val="002406D6"/>
    <w:rsid w:val="00247A22"/>
    <w:rsid w:val="00276B64"/>
    <w:rsid w:val="002905A1"/>
    <w:rsid w:val="00291358"/>
    <w:rsid w:val="002A434A"/>
    <w:rsid w:val="002A4FF8"/>
    <w:rsid w:val="002A6376"/>
    <w:rsid w:val="002A75C3"/>
    <w:rsid w:val="002C7FD7"/>
    <w:rsid w:val="002E772F"/>
    <w:rsid w:val="00324F53"/>
    <w:rsid w:val="0032577C"/>
    <w:rsid w:val="00356389"/>
    <w:rsid w:val="003745BB"/>
    <w:rsid w:val="003829DD"/>
    <w:rsid w:val="0038688F"/>
    <w:rsid w:val="00386EDA"/>
    <w:rsid w:val="003B4CBC"/>
    <w:rsid w:val="003C0679"/>
    <w:rsid w:val="003D2C7D"/>
    <w:rsid w:val="00417E54"/>
    <w:rsid w:val="00426A7E"/>
    <w:rsid w:val="00442C23"/>
    <w:rsid w:val="00462BB7"/>
    <w:rsid w:val="00490925"/>
    <w:rsid w:val="004A11B5"/>
    <w:rsid w:val="004B0029"/>
    <w:rsid w:val="004B4A84"/>
    <w:rsid w:val="004D6652"/>
    <w:rsid w:val="004E45E1"/>
    <w:rsid w:val="00506287"/>
    <w:rsid w:val="005275CC"/>
    <w:rsid w:val="00537B52"/>
    <w:rsid w:val="00562457"/>
    <w:rsid w:val="00573AC0"/>
    <w:rsid w:val="00583DFF"/>
    <w:rsid w:val="00586033"/>
    <w:rsid w:val="0059304E"/>
    <w:rsid w:val="005E28D6"/>
    <w:rsid w:val="005F77D0"/>
    <w:rsid w:val="00662D51"/>
    <w:rsid w:val="00672216"/>
    <w:rsid w:val="006B1633"/>
    <w:rsid w:val="006B6202"/>
    <w:rsid w:val="006E2976"/>
    <w:rsid w:val="00706A13"/>
    <w:rsid w:val="007102A6"/>
    <w:rsid w:val="007238A7"/>
    <w:rsid w:val="00730550"/>
    <w:rsid w:val="00771E09"/>
    <w:rsid w:val="00781867"/>
    <w:rsid w:val="007843EC"/>
    <w:rsid w:val="00786C11"/>
    <w:rsid w:val="007A2387"/>
    <w:rsid w:val="007A7A7C"/>
    <w:rsid w:val="007A7B67"/>
    <w:rsid w:val="007B04B3"/>
    <w:rsid w:val="007B2EF4"/>
    <w:rsid w:val="007C7A84"/>
    <w:rsid w:val="007C7EBB"/>
    <w:rsid w:val="007E67E2"/>
    <w:rsid w:val="007F517F"/>
    <w:rsid w:val="008027B6"/>
    <w:rsid w:val="00813D5B"/>
    <w:rsid w:val="00835553"/>
    <w:rsid w:val="00843EDA"/>
    <w:rsid w:val="00845B83"/>
    <w:rsid w:val="00880750"/>
    <w:rsid w:val="008C2AAC"/>
    <w:rsid w:val="008D0249"/>
    <w:rsid w:val="008F2E2E"/>
    <w:rsid w:val="008F751E"/>
    <w:rsid w:val="00922C57"/>
    <w:rsid w:val="00950B99"/>
    <w:rsid w:val="009B0585"/>
    <w:rsid w:val="009D3587"/>
    <w:rsid w:val="009E3F60"/>
    <w:rsid w:val="00A25020"/>
    <w:rsid w:val="00A43AC9"/>
    <w:rsid w:val="00A7020C"/>
    <w:rsid w:val="00A95444"/>
    <w:rsid w:val="00AD4C60"/>
    <w:rsid w:val="00B16A32"/>
    <w:rsid w:val="00B3139A"/>
    <w:rsid w:val="00B41E8C"/>
    <w:rsid w:val="00B46503"/>
    <w:rsid w:val="00B478D0"/>
    <w:rsid w:val="00B56A9C"/>
    <w:rsid w:val="00B61AA9"/>
    <w:rsid w:val="00B62A51"/>
    <w:rsid w:val="00B72CE7"/>
    <w:rsid w:val="00BB73D8"/>
    <w:rsid w:val="00BD328B"/>
    <w:rsid w:val="00BF5F2C"/>
    <w:rsid w:val="00BF7615"/>
    <w:rsid w:val="00C030C2"/>
    <w:rsid w:val="00C177F9"/>
    <w:rsid w:val="00C2607E"/>
    <w:rsid w:val="00C41D44"/>
    <w:rsid w:val="00C51E19"/>
    <w:rsid w:val="00C55089"/>
    <w:rsid w:val="00C729BF"/>
    <w:rsid w:val="00C82335"/>
    <w:rsid w:val="00C90314"/>
    <w:rsid w:val="00C94F75"/>
    <w:rsid w:val="00CA0C70"/>
    <w:rsid w:val="00CA0E17"/>
    <w:rsid w:val="00CA7ABB"/>
    <w:rsid w:val="00D15B61"/>
    <w:rsid w:val="00D25D97"/>
    <w:rsid w:val="00D27A6D"/>
    <w:rsid w:val="00D44E5D"/>
    <w:rsid w:val="00D83DCF"/>
    <w:rsid w:val="00DB4536"/>
    <w:rsid w:val="00DB6B82"/>
    <w:rsid w:val="00DC65B0"/>
    <w:rsid w:val="00DD7527"/>
    <w:rsid w:val="00DF4F2A"/>
    <w:rsid w:val="00E30546"/>
    <w:rsid w:val="00E52F09"/>
    <w:rsid w:val="00E610EE"/>
    <w:rsid w:val="00E76C16"/>
    <w:rsid w:val="00E933C2"/>
    <w:rsid w:val="00E93532"/>
    <w:rsid w:val="00EA471A"/>
    <w:rsid w:val="00EB2D0F"/>
    <w:rsid w:val="00EB5629"/>
    <w:rsid w:val="00F0114E"/>
    <w:rsid w:val="00F41E04"/>
    <w:rsid w:val="00F6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38A8B"/>
  <w15:chartTrackingRefBased/>
  <w15:docId w15:val="{313625EE-E6AA-4CEB-B143-38EBF4A4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40"/>
      <w:szCs w:val="20"/>
    </w:rPr>
  </w:style>
  <w:style w:type="paragraph" w:styleId="Heading3">
    <w:name w:val="heading 3"/>
    <w:basedOn w:val="Normal"/>
    <w:next w:val="Normal"/>
    <w:qFormat/>
    <w:pPr>
      <w:keepNext/>
      <w:outlineLvl w:val="2"/>
    </w:pPr>
    <w:rPr>
      <w:rFonts w:ascii="Tahoma" w:eastAsia="Batang" w:hAnsi="Tahoma" w:cs="Tahoma"/>
      <w:lang w:eastAsia="ko-KR"/>
    </w:rPr>
  </w:style>
  <w:style w:type="paragraph" w:styleId="Heading7">
    <w:name w:val="heading 7"/>
    <w:basedOn w:val="Normal"/>
    <w:next w:val="Normal"/>
    <w:qFormat/>
    <w:pPr>
      <w:keepNext/>
      <w:outlineLvl w:val="6"/>
    </w:pPr>
    <w:rPr>
      <w:rFonts w:ascii="Tahoma" w:hAnsi="Tahoma" w:cs="Tahoma"/>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customStyle="1" w:styleId="RICOL1">
    <w:name w:val="RICOL1"/>
    <w:basedOn w:val="Normal"/>
    <w:pPr>
      <w:tabs>
        <w:tab w:val="left" w:pos="360"/>
      </w:tabs>
      <w:spacing w:line="240" w:lineRule="exact"/>
    </w:pPr>
    <w:rPr>
      <w:rFonts w:ascii="Optima" w:hAnsi="Optima"/>
      <w:sz w:val="20"/>
      <w:szCs w:val="20"/>
    </w:rPr>
  </w:style>
  <w:style w:type="paragraph" w:styleId="BodyText">
    <w:name w:val="Body Text"/>
    <w:basedOn w:val="Normal"/>
    <w:pPr>
      <w:autoSpaceDE w:val="0"/>
      <w:autoSpaceDN w:val="0"/>
      <w:adjustRightInd w:val="0"/>
    </w:pPr>
    <w:rPr>
      <w:rFonts w:ascii="Tahoma" w:hAnsi="Tahoma" w:cs="Tahoma"/>
      <w:color w:val="0000FF"/>
    </w:rPr>
  </w:style>
  <w:style w:type="character" w:styleId="Emphasis">
    <w:name w:val="Emphasis"/>
    <w:qFormat/>
    <w:rsid w:val="00B56A9C"/>
    <w:rPr>
      <w:i/>
      <w:iCs/>
    </w:rPr>
  </w:style>
  <w:style w:type="paragraph" w:styleId="NoSpacing">
    <w:name w:val="No Spacing"/>
    <w:link w:val="NoSpacingChar"/>
    <w:uiPriority w:val="1"/>
    <w:qFormat/>
    <w:rsid w:val="00CA0C70"/>
    <w:rPr>
      <w:rFonts w:ascii="Calibri" w:eastAsia="Calibri" w:hAnsi="Calibri"/>
      <w:sz w:val="22"/>
      <w:szCs w:val="22"/>
    </w:rPr>
  </w:style>
  <w:style w:type="character" w:customStyle="1" w:styleId="NoSpacingChar">
    <w:name w:val="No Spacing Char"/>
    <w:basedOn w:val="DefaultParagraphFont"/>
    <w:link w:val="NoSpacing"/>
    <w:uiPriority w:val="1"/>
    <w:rsid w:val="00F62A94"/>
    <w:rPr>
      <w:rFonts w:ascii="Calibri" w:eastAsia="Calibri" w:hAnsi="Calibri"/>
      <w:sz w:val="22"/>
      <w:szCs w:val="22"/>
    </w:rPr>
  </w:style>
  <w:style w:type="paragraph" w:styleId="ListParagraph">
    <w:name w:val="List Paragraph"/>
    <w:basedOn w:val="Normal"/>
    <w:uiPriority w:val="34"/>
    <w:qFormat/>
    <w:rsid w:val="00BF5F2C"/>
    <w:pPr>
      <w:ind w:left="720"/>
      <w:contextualSpacing/>
    </w:pPr>
  </w:style>
  <w:style w:type="character" w:customStyle="1" w:styleId="FooterChar">
    <w:name w:val="Footer Char"/>
    <w:basedOn w:val="DefaultParagraphFont"/>
    <w:link w:val="Footer"/>
    <w:uiPriority w:val="99"/>
    <w:rsid w:val="0015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842647">
      <w:bodyDiv w:val="1"/>
      <w:marLeft w:val="0"/>
      <w:marRight w:val="0"/>
      <w:marTop w:val="0"/>
      <w:marBottom w:val="0"/>
      <w:divBdr>
        <w:top w:val="none" w:sz="0" w:space="0" w:color="auto"/>
        <w:left w:val="none" w:sz="0" w:space="0" w:color="auto"/>
        <w:bottom w:val="none" w:sz="0" w:space="0" w:color="auto"/>
        <w:right w:val="none" w:sz="0" w:space="0" w:color="auto"/>
      </w:divBdr>
      <w:divsChild>
        <w:div w:id="143738391">
          <w:marLeft w:val="0"/>
          <w:marRight w:val="0"/>
          <w:marTop w:val="0"/>
          <w:marBottom w:val="0"/>
          <w:divBdr>
            <w:top w:val="none" w:sz="0" w:space="0" w:color="auto"/>
            <w:left w:val="none" w:sz="0" w:space="0" w:color="auto"/>
            <w:bottom w:val="none" w:sz="0" w:space="0" w:color="auto"/>
            <w:right w:val="none" w:sz="0" w:space="0" w:color="auto"/>
          </w:divBdr>
          <w:divsChild>
            <w:div w:id="770778371">
              <w:marLeft w:val="0"/>
              <w:marRight w:val="0"/>
              <w:marTop w:val="0"/>
              <w:marBottom w:val="0"/>
              <w:divBdr>
                <w:top w:val="none" w:sz="0" w:space="0" w:color="auto"/>
                <w:left w:val="none" w:sz="0" w:space="0" w:color="auto"/>
                <w:bottom w:val="none" w:sz="0" w:space="0" w:color="auto"/>
                <w:right w:val="none" w:sz="0" w:space="0" w:color="auto"/>
              </w:divBdr>
            </w:div>
          </w:divsChild>
        </w:div>
        <w:div w:id="267125295">
          <w:marLeft w:val="0"/>
          <w:marRight w:val="0"/>
          <w:marTop w:val="0"/>
          <w:marBottom w:val="0"/>
          <w:divBdr>
            <w:top w:val="none" w:sz="0" w:space="0" w:color="auto"/>
            <w:left w:val="none" w:sz="0" w:space="0" w:color="auto"/>
            <w:bottom w:val="none" w:sz="0" w:space="0" w:color="auto"/>
            <w:right w:val="none" w:sz="0" w:space="0" w:color="auto"/>
          </w:divBdr>
        </w:div>
        <w:div w:id="1506049802">
          <w:marLeft w:val="0"/>
          <w:marRight w:val="0"/>
          <w:marTop w:val="0"/>
          <w:marBottom w:val="0"/>
          <w:divBdr>
            <w:top w:val="none" w:sz="0" w:space="0" w:color="auto"/>
            <w:left w:val="none" w:sz="0" w:space="0" w:color="auto"/>
            <w:bottom w:val="none" w:sz="0" w:space="0" w:color="auto"/>
            <w:right w:val="none" w:sz="0" w:space="0" w:color="auto"/>
          </w:divBdr>
          <w:divsChild>
            <w:div w:id="13248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MidCitiesPsychiat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F6AC-8DF2-486E-A08E-EE7CC75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Sr</vt:lpstr>
    </vt:vector>
  </TitlesOfParts>
  <Company>ASPII International</Company>
  <LinksUpToDate>false</LinksUpToDate>
  <CharactersWithSpaces>3825</CharactersWithSpaces>
  <SharedDoc>false</SharedDoc>
  <HLinks>
    <vt:vector size="6" baseType="variant">
      <vt:variant>
        <vt:i4>327718</vt:i4>
      </vt:variant>
      <vt:variant>
        <vt:i4>0</vt:i4>
      </vt:variant>
      <vt:variant>
        <vt:i4>0</vt:i4>
      </vt:variant>
      <vt:variant>
        <vt:i4>5</vt:i4>
      </vt:variant>
      <vt:variant>
        <vt:lpwstr>mailto:info@MidCitiesPsychiatry.com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Sohail Pirzada</dc:creator>
  <cp:keywords/>
  <cp:lastModifiedBy>Sohail Pirzada</cp:lastModifiedBy>
  <cp:revision>2</cp:revision>
  <cp:lastPrinted>2022-07-06T22:11:00Z</cp:lastPrinted>
  <dcterms:created xsi:type="dcterms:W3CDTF">2025-07-27T02:11:00Z</dcterms:created>
  <dcterms:modified xsi:type="dcterms:W3CDTF">2025-07-27T02:11:00Z</dcterms:modified>
</cp:coreProperties>
</file>