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8E34F" w14:textId="77777777" w:rsidR="008C2AAC" w:rsidRDefault="008C2AAC" w:rsidP="00C177F9">
      <w:pPr>
        <w:shd w:val="clear" w:color="auto" w:fill="FFFFFF"/>
        <w:spacing w:after="160"/>
        <w:jc w:val="center"/>
        <w:rPr>
          <w:b/>
        </w:rPr>
      </w:pPr>
    </w:p>
    <w:p w14:paraId="6136ECBA" w14:textId="04498C52" w:rsidR="00C177F9" w:rsidRPr="00525718" w:rsidRDefault="00C177F9" w:rsidP="00C177F9">
      <w:pPr>
        <w:shd w:val="clear" w:color="auto" w:fill="FFFFFF"/>
        <w:spacing w:after="160"/>
        <w:jc w:val="center"/>
        <w:rPr>
          <w:b/>
        </w:rPr>
      </w:pPr>
      <w:r w:rsidRPr="00525718">
        <w:rPr>
          <w:b/>
        </w:rPr>
        <w:t>Patient Financial Policy</w:t>
      </w:r>
    </w:p>
    <w:p w14:paraId="1324860C" w14:textId="77777777" w:rsidR="00C177F9" w:rsidRPr="00C177F9" w:rsidRDefault="00C177F9" w:rsidP="00C177F9">
      <w:pPr>
        <w:spacing w:before="100" w:beforeAutospacing="1" w:after="100" w:afterAutospacing="1"/>
        <w:rPr>
          <w:sz w:val="22"/>
          <w:szCs w:val="22"/>
        </w:rPr>
      </w:pPr>
      <w:r w:rsidRPr="00C177F9">
        <w:rPr>
          <w:b/>
          <w:bCs/>
          <w:sz w:val="22"/>
          <w:szCs w:val="22"/>
        </w:rPr>
        <w:t>Overview:</w:t>
      </w:r>
      <w:r w:rsidRPr="00C177F9">
        <w:rPr>
          <w:sz w:val="22"/>
          <w:szCs w:val="22"/>
        </w:rPr>
        <w:t xml:space="preserve"> We are committed to providing the highest level of care and service. Understanding your financial responsibilities is an essential part of your treatment and care. If you have any questions regarding these policies, please discuss them with our staff.</w:t>
      </w:r>
    </w:p>
    <w:p w14:paraId="7B37321A" w14:textId="77777777" w:rsidR="00C177F9" w:rsidRPr="00C177F9" w:rsidRDefault="00C177F9" w:rsidP="00C177F9">
      <w:pPr>
        <w:spacing w:before="100" w:beforeAutospacing="1" w:after="100" w:afterAutospacing="1"/>
        <w:rPr>
          <w:sz w:val="22"/>
          <w:szCs w:val="22"/>
        </w:rPr>
      </w:pPr>
      <w:r w:rsidRPr="00C177F9">
        <w:rPr>
          <w:b/>
          <w:bCs/>
          <w:sz w:val="22"/>
          <w:szCs w:val="22"/>
        </w:rPr>
        <w:t>Payment Policies:</w:t>
      </w:r>
    </w:p>
    <w:p w14:paraId="0F8A150C" w14:textId="77777777" w:rsidR="00C177F9" w:rsidRPr="00C177F9" w:rsidRDefault="00C177F9" w:rsidP="00C177F9">
      <w:pPr>
        <w:numPr>
          <w:ilvl w:val="0"/>
          <w:numId w:val="3"/>
        </w:numPr>
        <w:spacing w:before="100" w:beforeAutospacing="1" w:after="100" w:afterAutospacing="1"/>
        <w:rPr>
          <w:sz w:val="22"/>
          <w:szCs w:val="22"/>
        </w:rPr>
      </w:pPr>
      <w:r w:rsidRPr="00C177F9">
        <w:rPr>
          <w:b/>
          <w:bCs/>
          <w:sz w:val="22"/>
          <w:szCs w:val="22"/>
        </w:rPr>
        <w:t>Payment Due:</w:t>
      </w:r>
      <w:r w:rsidRPr="00C177F9">
        <w:rPr>
          <w:sz w:val="22"/>
          <w:szCs w:val="22"/>
        </w:rPr>
        <w:t xml:space="preserve"> Full payment is required at the time of service unless other arrangements have been made in advance. We accept checks (payable to Mid Cities Psychiatry), cash, debit cards, and credit cards for your convenience.</w:t>
      </w:r>
    </w:p>
    <w:p w14:paraId="3F561BBE" w14:textId="77777777" w:rsidR="00C177F9" w:rsidRPr="00C177F9" w:rsidRDefault="00C177F9" w:rsidP="00C177F9">
      <w:pPr>
        <w:numPr>
          <w:ilvl w:val="0"/>
          <w:numId w:val="3"/>
        </w:numPr>
        <w:spacing w:before="100" w:beforeAutospacing="1" w:after="100" w:afterAutospacing="1"/>
        <w:rPr>
          <w:sz w:val="22"/>
          <w:szCs w:val="22"/>
        </w:rPr>
      </w:pPr>
      <w:r w:rsidRPr="00C177F9">
        <w:rPr>
          <w:b/>
          <w:bCs/>
          <w:sz w:val="22"/>
          <w:szCs w:val="22"/>
        </w:rPr>
        <w:t>Insurance Coverage:</w:t>
      </w:r>
    </w:p>
    <w:p w14:paraId="65730C35" w14:textId="77777777" w:rsidR="00C177F9" w:rsidRPr="00C177F9" w:rsidRDefault="00C177F9" w:rsidP="00C177F9">
      <w:pPr>
        <w:numPr>
          <w:ilvl w:val="1"/>
          <w:numId w:val="3"/>
        </w:numPr>
        <w:spacing w:before="100" w:beforeAutospacing="1" w:after="100" w:afterAutospacing="1"/>
        <w:rPr>
          <w:sz w:val="22"/>
          <w:szCs w:val="22"/>
        </w:rPr>
      </w:pPr>
      <w:r w:rsidRPr="00C177F9">
        <w:rPr>
          <w:b/>
          <w:bCs/>
          <w:sz w:val="22"/>
          <w:szCs w:val="22"/>
        </w:rPr>
        <w:t>In-network Insurance:</w:t>
      </w:r>
      <w:r w:rsidRPr="00C177F9">
        <w:rPr>
          <w:sz w:val="22"/>
          <w:szCs w:val="22"/>
        </w:rPr>
        <w:t xml:space="preserve"> We have agreements with many insurers and health plans. We will bill these plans directly, and you are only responsible for the co-payment at the time of service.</w:t>
      </w:r>
    </w:p>
    <w:p w14:paraId="09A83256" w14:textId="77777777" w:rsidR="00C177F9" w:rsidRPr="00C177F9" w:rsidRDefault="00C177F9" w:rsidP="00C177F9">
      <w:pPr>
        <w:numPr>
          <w:ilvl w:val="1"/>
          <w:numId w:val="3"/>
        </w:numPr>
        <w:spacing w:before="100" w:beforeAutospacing="1" w:after="100" w:afterAutospacing="1"/>
        <w:rPr>
          <w:sz w:val="22"/>
          <w:szCs w:val="22"/>
        </w:rPr>
      </w:pPr>
      <w:r w:rsidRPr="00C177F9">
        <w:rPr>
          <w:b/>
          <w:bCs/>
          <w:sz w:val="22"/>
          <w:szCs w:val="22"/>
        </w:rPr>
        <w:t>Out-of-network Insurance:</w:t>
      </w:r>
      <w:r w:rsidRPr="00C177F9">
        <w:rPr>
          <w:sz w:val="22"/>
          <w:szCs w:val="22"/>
        </w:rPr>
        <w:t xml:space="preserve"> If we do not have an agreement with your insurer, we will still send claims on your behalf. Be aware that your share of costs may be higher with non-contracted providers.</w:t>
      </w:r>
    </w:p>
    <w:p w14:paraId="149FC1FF" w14:textId="77777777" w:rsidR="00C177F9" w:rsidRPr="00C177F9" w:rsidRDefault="00C177F9" w:rsidP="00C177F9">
      <w:pPr>
        <w:numPr>
          <w:ilvl w:val="1"/>
          <w:numId w:val="3"/>
        </w:numPr>
        <w:spacing w:before="100" w:beforeAutospacing="1" w:after="100" w:afterAutospacing="1"/>
        <w:rPr>
          <w:sz w:val="22"/>
          <w:szCs w:val="22"/>
        </w:rPr>
      </w:pPr>
      <w:r w:rsidRPr="00C177F9">
        <w:rPr>
          <w:b/>
          <w:bCs/>
          <w:sz w:val="22"/>
          <w:szCs w:val="22"/>
        </w:rPr>
        <w:t>Service Coverage:</w:t>
      </w:r>
      <w:r w:rsidRPr="00C177F9">
        <w:rPr>
          <w:sz w:val="22"/>
          <w:szCs w:val="22"/>
        </w:rPr>
        <w:t xml:space="preserve"> Not all services may be covered by your insurance. Services deemed “not covered” by your insurance will require full payment by you upon receipt of our statement.</w:t>
      </w:r>
    </w:p>
    <w:p w14:paraId="4FE20251" w14:textId="77777777" w:rsidR="00C177F9" w:rsidRPr="00C177F9" w:rsidRDefault="00C177F9" w:rsidP="00C177F9">
      <w:pPr>
        <w:numPr>
          <w:ilvl w:val="1"/>
          <w:numId w:val="3"/>
        </w:numPr>
        <w:spacing w:before="100" w:beforeAutospacing="1" w:after="100" w:afterAutospacing="1"/>
        <w:rPr>
          <w:sz w:val="22"/>
          <w:szCs w:val="22"/>
        </w:rPr>
      </w:pPr>
      <w:r w:rsidRPr="00C177F9">
        <w:rPr>
          <w:b/>
          <w:bCs/>
          <w:sz w:val="22"/>
          <w:szCs w:val="22"/>
        </w:rPr>
        <w:t>Insurance Claim Processing:</w:t>
      </w:r>
      <w:r w:rsidRPr="00C177F9">
        <w:rPr>
          <w:sz w:val="22"/>
          <w:szCs w:val="22"/>
        </w:rPr>
        <w:t xml:space="preserve"> Do not assume your insurance is processing your claim. If no payment notification is received within 30-45 days post-treatment, contact your insurance directly. You are responsible for any services not reimbursed by your insurance.</w:t>
      </w:r>
    </w:p>
    <w:p w14:paraId="5F325B73" w14:textId="5720B79F" w:rsidR="00C177F9" w:rsidRPr="00C177F9" w:rsidRDefault="00C177F9" w:rsidP="00C177F9">
      <w:pPr>
        <w:numPr>
          <w:ilvl w:val="0"/>
          <w:numId w:val="3"/>
        </w:numPr>
        <w:spacing w:before="100" w:beforeAutospacing="1" w:after="100" w:afterAutospacing="1"/>
        <w:rPr>
          <w:sz w:val="22"/>
          <w:szCs w:val="22"/>
        </w:rPr>
      </w:pPr>
      <w:r w:rsidRPr="00C177F9">
        <w:rPr>
          <w:b/>
          <w:bCs/>
          <w:sz w:val="22"/>
          <w:szCs w:val="22"/>
        </w:rPr>
        <w:t>Responsibilities for Minor Patients:</w:t>
      </w:r>
    </w:p>
    <w:p w14:paraId="2C7FBD7C" w14:textId="2D3B810E" w:rsidR="00C177F9" w:rsidRPr="00C177F9" w:rsidRDefault="00C177F9" w:rsidP="005E494D">
      <w:pPr>
        <w:numPr>
          <w:ilvl w:val="1"/>
          <w:numId w:val="3"/>
        </w:numPr>
        <w:spacing w:before="100" w:beforeAutospacing="1" w:after="100" w:afterAutospacing="1"/>
        <w:rPr>
          <w:sz w:val="22"/>
          <w:szCs w:val="22"/>
        </w:rPr>
      </w:pPr>
      <w:r w:rsidRPr="00C177F9">
        <w:rPr>
          <w:sz w:val="22"/>
          <w:szCs w:val="22"/>
        </w:rPr>
        <w:t>Payment for services rendered to minors must be fulfilled by the accompanying adult or the custodial parent/guardian.</w:t>
      </w:r>
    </w:p>
    <w:p w14:paraId="2B4A1833" w14:textId="3613BC46" w:rsidR="00C177F9" w:rsidRPr="00C177F9" w:rsidRDefault="00C177F9" w:rsidP="00C177F9">
      <w:pPr>
        <w:numPr>
          <w:ilvl w:val="0"/>
          <w:numId w:val="3"/>
        </w:numPr>
        <w:spacing w:before="100" w:beforeAutospacing="1" w:after="100" w:afterAutospacing="1"/>
        <w:rPr>
          <w:sz w:val="22"/>
          <w:szCs w:val="22"/>
        </w:rPr>
      </w:pPr>
      <w:r w:rsidRPr="00C177F9">
        <w:rPr>
          <w:b/>
          <w:bCs/>
          <w:sz w:val="22"/>
          <w:szCs w:val="22"/>
        </w:rPr>
        <w:t>Additional Information:</w:t>
      </w:r>
    </w:p>
    <w:p w14:paraId="548F3551" w14:textId="14D881EC" w:rsidR="00C177F9" w:rsidRPr="00C177F9" w:rsidRDefault="00C177F9" w:rsidP="00C177F9">
      <w:pPr>
        <w:numPr>
          <w:ilvl w:val="1"/>
          <w:numId w:val="3"/>
        </w:numPr>
        <w:spacing w:before="100" w:beforeAutospacing="1" w:after="100" w:afterAutospacing="1"/>
        <w:rPr>
          <w:sz w:val="22"/>
          <w:szCs w:val="22"/>
        </w:rPr>
      </w:pPr>
      <w:r w:rsidRPr="00C177F9">
        <w:rPr>
          <w:b/>
          <w:bCs/>
          <w:sz w:val="22"/>
          <w:szCs w:val="22"/>
        </w:rPr>
        <w:t>Authorization Requests:</w:t>
      </w:r>
      <w:r w:rsidRPr="00C177F9">
        <w:rPr>
          <w:sz w:val="22"/>
          <w:szCs w:val="22"/>
        </w:rPr>
        <w:t xml:space="preserve"> If your insurance requires prior authorization or a referral, please notify our staff in advance so we can comply with these requirements.</w:t>
      </w:r>
    </w:p>
    <w:p w14:paraId="3BD365F0" w14:textId="7CD6CD45" w:rsidR="00C177F9" w:rsidRDefault="00C177F9" w:rsidP="00C177F9">
      <w:pPr>
        <w:numPr>
          <w:ilvl w:val="1"/>
          <w:numId w:val="3"/>
        </w:numPr>
        <w:spacing w:before="100" w:beforeAutospacing="1" w:after="100" w:afterAutospacing="1"/>
        <w:rPr>
          <w:sz w:val="22"/>
          <w:szCs w:val="22"/>
        </w:rPr>
      </w:pPr>
      <w:r w:rsidRPr="00C177F9">
        <w:rPr>
          <w:b/>
          <w:bCs/>
          <w:sz w:val="22"/>
          <w:szCs w:val="22"/>
        </w:rPr>
        <w:t>Insurance Delays or Denials:</w:t>
      </w:r>
      <w:r w:rsidRPr="00C177F9">
        <w:rPr>
          <w:sz w:val="22"/>
          <w:szCs w:val="22"/>
        </w:rPr>
        <w:t xml:space="preserve"> Engage with your insurer or benefits office promptly if there are delays. You consent to pay directly for services deemed non-medically necessary by your insurer.</w:t>
      </w:r>
    </w:p>
    <w:p w14:paraId="07E63E3C" w14:textId="53C906A4" w:rsidR="00813D5B" w:rsidRPr="00C177F9" w:rsidRDefault="00813D5B" w:rsidP="00C177F9">
      <w:pPr>
        <w:numPr>
          <w:ilvl w:val="1"/>
          <w:numId w:val="3"/>
        </w:numPr>
        <w:spacing w:before="100" w:beforeAutospacing="1" w:after="100" w:afterAutospacing="1"/>
        <w:rPr>
          <w:sz w:val="22"/>
          <w:szCs w:val="22"/>
        </w:rPr>
      </w:pPr>
      <w:r w:rsidRPr="006C7216">
        <w:rPr>
          <w:b/>
          <w:bCs/>
        </w:rPr>
        <w:t>Non-Sufficient Funds (NSF) fees</w:t>
      </w:r>
      <w:r>
        <w:rPr>
          <w:b/>
          <w:bCs/>
        </w:rPr>
        <w:t xml:space="preserve">: </w:t>
      </w:r>
      <w:r w:rsidRPr="006C7216">
        <w:t xml:space="preserve">NSF fees </w:t>
      </w:r>
      <w:r>
        <w:t xml:space="preserve">$25.00 will be charged </w:t>
      </w:r>
      <w:r w:rsidRPr="006C7216">
        <w:t>for failed transactions for bounced checks or declined ACH payments</w:t>
      </w:r>
      <w:r>
        <w:t>.</w:t>
      </w:r>
    </w:p>
    <w:p w14:paraId="460D429A" w14:textId="77777777" w:rsidR="00C177F9" w:rsidRPr="00C177F9" w:rsidRDefault="00C177F9" w:rsidP="00C177F9">
      <w:pPr>
        <w:pStyle w:val="NoSpacing"/>
        <w:jc w:val="center"/>
        <w:rPr>
          <w:rFonts w:ascii="Times New Roman" w:hAnsi="Times New Roman"/>
          <w:b/>
        </w:rPr>
      </w:pPr>
      <w:r w:rsidRPr="00C177F9">
        <w:rPr>
          <w:rFonts w:ascii="Times New Roman" w:hAnsi="Times New Roman"/>
          <w:b/>
        </w:rPr>
        <w:t>By my signature below, I acknowledge and understand that it is ultimately my responsibility and obligation to be aware of my insurance’s requirements, coverages, deductibles and payments.</w:t>
      </w:r>
    </w:p>
    <w:p w14:paraId="039D9BAD" w14:textId="77777777" w:rsidR="00C177F9" w:rsidRPr="00C177F9" w:rsidRDefault="00C177F9" w:rsidP="00C177F9">
      <w:pPr>
        <w:pStyle w:val="NoSpacing"/>
        <w:jc w:val="center"/>
        <w:rPr>
          <w:rFonts w:ascii="Times New Roman" w:hAnsi="Times New Roman"/>
          <w:b/>
        </w:rPr>
      </w:pPr>
    </w:p>
    <w:p w14:paraId="37A29A35" w14:textId="77777777" w:rsidR="00144353" w:rsidRPr="003D1C3C" w:rsidRDefault="00144353" w:rsidP="00144353">
      <w:pPr>
        <w:pBdr>
          <w:top w:val="nil"/>
          <w:left w:val="nil"/>
          <w:bottom w:val="nil"/>
          <w:right w:val="nil"/>
          <w:between w:val="nil"/>
        </w:pBdr>
        <w:rPr>
          <w:rFonts w:eastAsia="Cambria"/>
          <w:b/>
          <w:bCs/>
          <w:i/>
          <w:iCs/>
          <w:sz w:val="20"/>
          <w:szCs w:val="20"/>
        </w:rPr>
      </w:pPr>
      <w:r w:rsidRPr="003D1C3C">
        <w:rPr>
          <w:b/>
          <w:bCs/>
        </w:rPr>
        <w:t xml:space="preserve">I have reviewed and </w:t>
      </w:r>
      <w:proofErr w:type="gramStart"/>
      <w:r w:rsidRPr="003D1C3C">
        <w:rPr>
          <w:b/>
          <w:bCs/>
        </w:rPr>
        <w:t>accept</w:t>
      </w:r>
      <w:proofErr w:type="gramEnd"/>
      <w:r w:rsidRPr="003D1C3C">
        <w:rPr>
          <w:b/>
          <w:bCs/>
        </w:rPr>
        <w:t xml:space="preserve"> the terms of Mid Cities Psychiatry’s Practice Policy. I agree to adhere to and be legally bound by these terms. I acknowledge that Mid Cities Psychiatry retains the right to amend its Practice Policy at any time.</w:t>
      </w:r>
    </w:p>
    <w:p w14:paraId="7402C063" w14:textId="77777777" w:rsidR="00144353" w:rsidRPr="00C2607E" w:rsidRDefault="00144353" w:rsidP="00144353"/>
    <w:p w14:paraId="14E05A6C" w14:textId="77777777" w:rsidR="00BF5F2C" w:rsidRDefault="00BF5F2C" w:rsidP="00BF5F2C">
      <w:pPr>
        <w:pBdr>
          <w:top w:val="nil"/>
          <w:left w:val="nil"/>
          <w:bottom w:val="nil"/>
          <w:right w:val="nil"/>
          <w:between w:val="nil"/>
        </w:pBdr>
        <w:rPr>
          <w:rFonts w:eastAsia="Cambria"/>
          <w:b/>
          <w:bCs/>
          <w:i/>
          <w:iCs/>
          <w:sz w:val="20"/>
          <w:szCs w:val="20"/>
        </w:rPr>
      </w:pPr>
    </w:p>
    <w:sectPr w:rsidR="00BF5F2C" w:rsidSect="00C177F9">
      <w:headerReference w:type="default" r:id="rId8"/>
      <w:footerReference w:type="default" r:id="rId9"/>
      <w:pgSz w:w="12240" w:h="15840" w:code="1"/>
      <w:pgMar w:top="1440" w:right="1440" w:bottom="1440" w:left="144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485F" w14:textId="77777777" w:rsidR="000337B5" w:rsidRDefault="000337B5">
      <w:r>
        <w:separator/>
      </w:r>
    </w:p>
  </w:endnote>
  <w:endnote w:type="continuationSeparator" w:id="0">
    <w:p w14:paraId="1508E5F5" w14:textId="77777777" w:rsidR="000337B5" w:rsidRDefault="0003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Optim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4" w:type="dxa"/>
      <w:jc w:val="center"/>
      <w:tblLayout w:type="fixed"/>
      <w:tblLook w:val="0000" w:firstRow="0" w:lastRow="0" w:firstColumn="0" w:lastColumn="0" w:noHBand="0" w:noVBand="0"/>
    </w:tblPr>
    <w:tblGrid>
      <w:gridCol w:w="5636"/>
      <w:gridCol w:w="4228"/>
    </w:tblGrid>
    <w:tr w:rsidR="00C55089" w14:paraId="154ED549" w14:textId="77777777" w:rsidTr="00F62A94">
      <w:trPr>
        <w:jc w:val="center"/>
      </w:trPr>
      <w:tc>
        <w:tcPr>
          <w:tcW w:w="5636" w:type="dxa"/>
          <w:vAlign w:val="center"/>
        </w:tcPr>
        <w:p w14:paraId="12672FD7" w14:textId="77777777" w:rsidR="00C55089" w:rsidRDefault="00356389">
          <w:pPr>
            <w:rPr>
              <w:rFonts w:ascii="Tahoma" w:hAnsi="Tahoma" w:cs="Tahoma"/>
              <w:b/>
              <w:bCs/>
              <w:color w:val="FF0000"/>
              <w:sz w:val="18"/>
              <w:szCs w:val="18"/>
            </w:rPr>
          </w:pPr>
          <w:r>
            <w:rPr>
              <w:rFonts w:ascii="Tahoma" w:hAnsi="Tahoma" w:cs="Tahoma"/>
              <w:b/>
              <w:bCs/>
              <w:smallCaps/>
              <w:color w:val="FF0000"/>
              <w:sz w:val="18"/>
              <w:szCs w:val="18"/>
            </w:rPr>
            <w:t>Mid Cities Psychiatry</w:t>
          </w:r>
        </w:p>
        <w:p w14:paraId="1BA31211" w14:textId="77777777" w:rsidR="00C51E19" w:rsidRPr="00DD7527" w:rsidRDefault="007102A6" w:rsidP="00C51E19">
          <w:pPr>
            <w:rPr>
              <w:rFonts w:ascii="Tahoma" w:hAnsi="Tahoma" w:cs="Tahoma"/>
              <w:color w:val="0070C0"/>
              <w:sz w:val="18"/>
              <w:szCs w:val="18"/>
            </w:rPr>
          </w:pPr>
          <w:r>
            <w:rPr>
              <w:rFonts w:ascii="Tahoma" w:hAnsi="Tahoma" w:cs="Tahoma"/>
              <w:color w:val="0070C0"/>
              <w:sz w:val="18"/>
              <w:szCs w:val="18"/>
            </w:rPr>
            <w:t>200 Westpark Way, Euless, TX 76040</w:t>
          </w:r>
        </w:p>
        <w:p w14:paraId="59F8CA2D" w14:textId="77777777" w:rsidR="00C51E19" w:rsidRPr="00DD7527" w:rsidRDefault="00C51E19" w:rsidP="00C51E19">
          <w:pPr>
            <w:rPr>
              <w:rFonts w:ascii="Tahoma" w:hAnsi="Tahoma" w:cs="Tahoma"/>
              <w:color w:val="0070C0"/>
              <w:sz w:val="18"/>
              <w:szCs w:val="18"/>
            </w:rPr>
          </w:pPr>
          <w:r w:rsidRPr="00DD7527">
            <w:rPr>
              <w:rFonts w:ascii="Tahoma" w:hAnsi="Tahoma" w:cs="Tahoma"/>
              <w:color w:val="0070C0"/>
              <w:sz w:val="18"/>
              <w:szCs w:val="18"/>
            </w:rPr>
            <w:t>office</w:t>
          </w:r>
          <w:proofErr w:type="gramStart"/>
          <w:r w:rsidRPr="00DD7527">
            <w:rPr>
              <w:rFonts w:ascii="Tahoma" w:hAnsi="Tahoma" w:cs="Tahoma"/>
              <w:color w:val="0070C0"/>
              <w:sz w:val="18"/>
              <w:szCs w:val="18"/>
            </w:rPr>
            <w:t>:  (</w:t>
          </w:r>
          <w:proofErr w:type="gramEnd"/>
          <w:r w:rsidR="00A43AC9">
            <w:rPr>
              <w:rFonts w:ascii="Tahoma" w:hAnsi="Tahoma" w:cs="Tahoma"/>
              <w:color w:val="0070C0"/>
              <w:sz w:val="18"/>
              <w:szCs w:val="18"/>
            </w:rPr>
            <w:t>817</w:t>
          </w:r>
          <w:r w:rsidR="0021158C">
            <w:rPr>
              <w:rFonts w:ascii="Tahoma" w:hAnsi="Tahoma" w:cs="Tahoma"/>
              <w:color w:val="0070C0"/>
              <w:sz w:val="18"/>
              <w:szCs w:val="18"/>
            </w:rPr>
            <w:t xml:space="preserve">) </w:t>
          </w:r>
          <w:r w:rsidR="0021158C" w:rsidRPr="0021158C">
            <w:rPr>
              <w:rFonts w:ascii="Tahoma" w:hAnsi="Tahoma" w:cs="Tahoma"/>
              <w:color w:val="0070C0"/>
              <w:sz w:val="18"/>
              <w:szCs w:val="18"/>
            </w:rPr>
            <w:t>48</w:t>
          </w:r>
          <w:r w:rsidR="00A43AC9">
            <w:rPr>
              <w:rFonts w:ascii="Tahoma" w:hAnsi="Tahoma" w:cs="Tahoma"/>
              <w:color w:val="0070C0"/>
              <w:sz w:val="18"/>
              <w:szCs w:val="18"/>
            </w:rPr>
            <w:t>8</w:t>
          </w:r>
          <w:r w:rsidR="0021158C" w:rsidRPr="0021158C">
            <w:rPr>
              <w:rFonts w:ascii="Tahoma" w:hAnsi="Tahoma" w:cs="Tahoma"/>
              <w:color w:val="0070C0"/>
              <w:sz w:val="18"/>
              <w:szCs w:val="18"/>
            </w:rPr>
            <w:t>-</w:t>
          </w:r>
          <w:r w:rsidR="00A43AC9">
            <w:rPr>
              <w:rFonts w:ascii="Tahoma" w:hAnsi="Tahoma" w:cs="Tahoma"/>
              <w:color w:val="0070C0"/>
              <w:sz w:val="18"/>
              <w:szCs w:val="18"/>
            </w:rPr>
            <w:t>8998</w:t>
          </w:r>
          <w:r w:rsidRPr="00DD7527">
            <w:rPr>
              <w:rFonts w:ascii="Tahoma" w:hAnsi="Tahoma" w:cs="Tahoma"/>
              <w:color w:val="0070C0"/>
              <w:sz w:val="18"/>
              <w:szCs w:val="18"/>
            </w:rPr>
            <w:t xml:space="preserve"> &lt;&gt; fax: (855) 295-2686</w:t>
          </w:r>
        </w:p>
        <w:p w14:paraId="3870FC6F" w14:textId="77777777" w:rsidR="00C55089" w:rsidRPr="00DD7527" w:rsidRDefault="00A43AC9" w:rsidP="00222404">
          <w:pPr>
            <w:spacing w:before="20" w:after="20"/>
            <w:rPr>
              <w:rFonts w:ascii="Tahoma" w:hAnsi="Tahoma" w:cs="Tahoma"/>
              <w:sz w:val="18"/>
              <w:szCs w:val="18"/>
            </w:rPr>
          </w:pPr>
          <w:hyperlink r:id="rId1" w:history="1">
            <w:r w:rsidRPr="00266F28">
              <w:rPr>
                <w:rStyle w:val="Hyperlink"/>
                <w:rFonts w:ascii="Tahoma" w:hAnsi="Tahoma" w:cs="Tahoma"/>
                <w:sz w:val="18"/>
                <w:szCs w:val="18"/>
              </w:rPr>
              <w:t>info@MidCitiesPsychiatry.com</w:t>
            </w:r>
          </w:hyperlink>
          <w:r>
            <w:rPr>
              <w:rFonts w:ascii="Tahoma" w:hAnsi="Tahoma" w:cs="Tahoma"/>
              <w:color w:val="0070C0"/>
              <w:sz w:val="18"/>
              <w:szCs w:val="18"/>
            </w:rPr>
            <w:t xml:space="preserve"> &lt;&gt; </w:t>
          </w:r>
          <w:r w:rsidR="00DD7527" w:rsidRPr="00DD7527">
            <w:rPr>
              <w:rFonts w:ascii="Tahoma" w:hAnsi="Tahoma" w:cs="Tahoma"/>
              <w:color w:val="0070C0"/>
              <w:sz w:val="18"/>
              <w:szCs w:val="18"/>
            </w:rPr>
            <w:t>www.</w:t>
          </w:r>
          <w:r w:rsidR="00222404" w:rsidRPr="0084497D">
            <w:t xml:space="preserve"> </w:t>
          </w:r>
          <w:r w:rsidR="00222404" w:rsidRPr="00222404">
            <w:rPr>
              <w:rFonts w:ascii="Tahoma" w:hAnsi="Tahoma" w:cs="Tahoma"/>
              <w:color w:val="0070C0"/>
              <w:sz w:val="18"/>
              <w:szCs w:val="18"/>
            </w:rPr>
            <w:t>MidCitiesPsychiatry.co</w:t>
          </w:r>
          <w:r w:rsidR="00222404">
            <w:rPr>
              <w:rFonts w:ascii="Tahoma" w:hAnsi="Tahoma" w:cs="Tahoma"/>
              <w:color w:val="0070C0"/>
              <w:sz w:val="18"/>
              <w:szCs w:val="18"/>
            </w:rPr>
            <w:t>m</w:t>
          </w:r>
        </w:p>
      </w:tc>
      <w:tc>
        <w:tcPr>
          <w:tcW w:w="4228" w:type="dxa"/>
          <w:vAlign w:val="center"/>
        </w:tcPr>
        <w:p w14:paraId="6191113A" w14:textId="77777777" w:rsidR="00C55089" w:rsidRDefault="00DD7527" w:rsidP="00DD7527">
          <w:pPr>
            <w:pStyle w:val="Heading1"/>
            <w:spacing w:before="20" w:after="20"/>
            <w:jc w:val="right"/>
            <w:rPr>
              <w:lang w:eastAsia="ko-KR"/>
            </w:rPr>
          </w:pPr>
          <w:r>
            <w:rPr>
              <w:rFonts w:ascii="Tahoma" w:hAnsi="Tahoma" w:cs="Tahoma"/>
              <w:color w:val="FF0000"/>
              <w:sz w:val="44"/>
            </w:rPr>
            <w:t>Seema Kazi, MD</w:t>
          </w:r>
        </w:p>
      </w:tc>
    </w:tr>
  </w:tbl>
  <w:p w14:paraId="0C5904A0" w14:textId="77777777" w:rsidR="00C55089" w:rsidRDefault="00C5508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9BA" w14:textId="77777777" w:rsidR="000337B5" w:rsidRDefault="000337B5">
      <w:r>
        <w:separator/>
      </w:r>
    </w:p>
  </w:footnote>
  <w:footnote w:type="continuationSeparator" w:id="0">
    <w:p w14:paraId="1BA832CE" w14:textId="77777777" w:rsidR="000337B5" w:rsidRDefault="00033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144C" w14:textId="57F93368" w:rsidR="006E2976" w:rsidRDefault="007843EC" w:rsidP="006E2976">
    <w:pPr>
      <w:pStyle w:val="Header"/>
      <w:tabs>
        <w:tab w:val="left" w:pos="2970"/>
        <w:tab w:val="center" w:pos="4680"/>
      </w:tabs>
      <w:rPr>
        <w:rFonts w:ascii="Tahoma" w:hAnsi="Tahoma" w:cs="Tahoma"/>
        <w:b/>
        <w:bCs/>
        <w:color w:val="FF0000"/>
        <w:sz w:val="24"/>
      </w:rPr>
    </w:pPr>
    <w:r>
      <w:rPr>
        <w:noProof/>
      </w:rPr>
      <w:drawing>
        <wp:anchor distT="0" distB="0" distL="114300" distR="114300" simplePos="0" relativeHeight="251657728" behindDoc="1" locked="0" layoutInCell="1" allowOverlap="1" wp14:anchorId="2180FB92" wp14:editId="6B1E9825">
          <wp:simplePos x="0" y="0"/>
          <wp:positionH relativeFrom="column">
            <wp:posOffset>5459969</wp:posOffset>
          </wp:positionH>
          <wp:positionV relativeFrom="paragraph">
            <wp:posOffset>81280</wp:posOffset>
          </wp:positionV>
          <wp:extent cx="1052830" cy="615315"/>
          <wp:effectExtent l="0" t="0" r="0" b="0"/>
          <wp:wrapTight wrapText="bothSides">
            <wp:wrapPolygon edited="0">
              <wp:start x="3127" y="0"/>
              <wp:lineTo x="0" y="17387"/>
              <wp:lineTo x="0" y="20731"/>
              <wp:lineTo x="12507" y="20731"/>
              <wp:lineTo x="21105" y="20731"/>
              <wp:lineTo x="21105" y="18056"/>
              <wp:lineTo x="17978" y="0"/>
              <wp:lineTo x="3127"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86BCC" w14:textId="77777777" w:rsidR="006E2976" w:rsidRDefault="006E2976" w:rsidP="006E2976">
    <w:pPr>
      <w:pStyle w:val="Header"/>
      <w:tabs>
        <w:tab w:val="left" w:pos="2970"/>
        <w:tab w:val="center" w:pos="4680"/>
      </w:tabs>
      <w:rPr>
        <w:rFonts w:ascii="Tahoma" w:hAnsi="Tahoma" w:cs="Tahoma"/>
        <w:b/>
        <w:bCs/>
        <w:color w:val="FF0000"/>
        <w:sz w:val="24"/>
      </w:rPr>
    </w:pPr>
  </w:p>
  <w:p w14:paraId="095C2FD4" w14:textId="77777777" w:rsidR="0021158C" w:rsidRDefault="0021158C" w:rsidP="006E2976">
    <w:pPr>
      <w:pStyle w:val="Header"/>
      <w:tabs>
        <w:tab w:val="left" w:pos="2970"/>
        <w:tab w:val="center" w:pos="4680"/>
      </w:tabs>
      <w:rPr>
        <w:rFonts w:ascii="Tahoma" w:hAnsi="Tahoma" w:cs="Tahoma"/>
        <w:b/>
        <w:bCs/>
        <w:color w:val="FF0000"/>
        <w:sz w:val="24"/>
      </w:rPr>
    </w:pPr>
  </w:p>
  <w:p w14:paraId="1FE820F2" w14:textId="77777777" w:rsidR="006E2976" w:rsidRDefault="006E2976" w:rsidP="006E2976">
    <w:pPr>
      <w:pStyle w:val="Header"/>
      <w:tabs>
        <w:tab w:val="left" w:pos="2970"/>
        <w:tab w:val="center" w:pos="4680"/>
      </w:tabs>
      <w:rPr>
        <w:rFonts w:ascii="Tahoma" w:hAnsi="Tahoma" w:cs="Tahoma"/>
        <w:b/>
        <w:bCs/>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4CB"/>
    <w:multiLevelType w:val="multilevel"/>
    <w:tmpl w:val="B4E8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82A4A"/>
    <w:multiLevelType w:val="multilevel"/>
    <w:tmpl w:val="30A8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20ACE"/>
    <w:multiLevelType w:val="hybridMultilevel"/>
    <w:tmpl w:val="8630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B65871"/>
    <w:multiLevelType w:val="multilevel"/>
    <w:tmpl w:val="857C7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A7132"/>
    <w:multiLevelType w:val="multilevel"/>
    <w:tmpl w:val="AC10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487765">
    <w:abstractNumId w:val="1"/>
  </w:num>
  <w:num w:numId="2" w16cid:durableId="1893350747">
    <w:abstractNumId w:val="2"/>
  </w:num>
  <w:num w:numId="3" w16cid:durableId="268241346">
    <w:abstractNumId w:val="3"/>
  </w:num>
  <w:num w:numId="4" w16cid:durableId="86705302">
    <w:abstractNumId w:val="0"/>
  </w:num>
  <w:num w:numId="5" w16cid:durableId="425469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C2"/>
    <w:rsid w:val="00003115"/>
    <w:rsid w:val="000144F1"/>
    <w:rsid w:val="0002715B"/>
    <w:rsid w:val="000337B5"/>
    <w:rsid w:val="00034A2D"/>
    <w:rsid w:val="000478A2"/>
    <w:rsid w:val="000522B6"/>
    <w:rsid w:val="0006482E"/>
    <w:rsid w:val="000818E9"/>
    <w:rsid w:val="00090E94"/>
    <w:rsid w:val="000A1C88"/>
    <w:rsid w:val="000B7F18"/>
    <w:rsid w:val="000E4E65"/>
    <w:rsid w:val="000F6D00"/>
    <w:rsid w:val="001340FA"/>
    <w:rsid w:val="00144353"/>
    <w:rsid w:val="00146934"/>
    <w:rsid w:val="00175D57"/>
    <w:rsid w:val="00187F8C"/>
    <w:rsid w:val="001A3D36"/>
    <w:rsid w:val="001A4A3A"/>
    <w:rsid w:val="001F58BE"/>
    <w:rsid w:val="002076E5"/>
    <w:rsid w:val="0021158C"/>
    <w:rsid w:val="00222404"/>
    <w:rsid w:val="002320B3"/>
    <w:rsid w:val="002406D6"/>
    <w:rsid w:val="00247A22"/>
    <w:rsid w:val="00276B64"/>
    <w:rsid w:val="002905A1"/>
    <w:rsid w:val="00291358"/>
    <w:rsid w:val="002A434A"/>
    <w:rsid w:val="002A4FF8"/>
    <w:rsid w:val="002A6376"/>
    <w:rsid w:val="002A75C3"/>
    <w:rsid w:val="002C7FD7"/>
    <w:rsid w:val="002E772F"/>
    <w:rsid w:val="00324F53"/>
    <w:rsid w:val="0032577C"/>
    <w:rsid w:val="00356389"/>
    <w:rsid w:val="003745BB"/>
    <w:rsid w:val="003829DD"/>
    <w:rsid w:val="0038688F"/>
    <w:rsid w:val="00386EDA"/>
    <w:rsid w:val="003B4CBC"/>
    <w:rsid w:val="003C0679"/>
    <w:rsid w:val="003D2C7D"/>
    <w:rsid w:val="00417E54"/>
    <w:rsid w:val="00426A7E"/>
    <w:rsid w:val="00442C23"/>
    <w:rsid w:val="00462BB7"/>
    <w:rsid w:val="00490925"/>
    <w:rsid w:val="004A11B5"/>
    <w:rsid w:val="004B0029"/>
    <w:rsid w:val="004B4A84"/>
    <w:rsid w:val="004D6652"/>
    <w:rsid w:val="004E45E1"/>
    <w:rsid w:val="00506287"/>
    <w:rsid w:val="005275CC"/>
    <w:rsid w:val="00537B52"/>
    <w:rsid w:val="00562457"/>
    <w:rsid w:val="00573AC0"/>
    <w:rsid w:val="00583DFF"/>
    <w:rsid w:val="00586033"/>
    <w:rsid w:val="0059304E"/>
    <w:rsid w:val="005E28D6"/>
    <w:rsid w:val="005F77D0"/>
    <w:rsid w:val="00662D51"/>
    <w:rsid w:val="00672216"/>
    <w:rsid w:val="006B1633"/>
    <w:rsid w:val="006B6202"/>
    <w:rsid w:val="006E2976"/>
    <w:rsid w:val="00706A13"/>
    <w:rsid w:val="007102A6"/>
    <w:rsid w:val="007238A7"/>
    <w:rsid w:val="00730550"/>
    <w:rsid w:val="00771E09"/>
    <w:rsid w:val="00781867"/>
    <w:rsid w:val="007843EC"/>
    <w:rsid w:val="00786C11"/>
    <w:rsid w:val="007A2387"/>
    <w:rsid w:val="007A7A7C"/>
    <w:rsid w:val="007A7B67"/>
    <w:rsid w:val="007B04B3"/>
    <w:rsid w:val="007B2EF4"/>
    <w:rsid w:val="007C7A84"/>
    <w:rsid w:val="007C7EBB"/>
    <w:rsid w:val="007E67E2"/>
    <w:rsid w:val="007F517F"/>
    <w:rsid w:val="008027B6"/>
    <w:rsid w:val="00813D5B"/>
    <w:rsid w:val="00835553"/>
    <w:rsid w:val="00845B83"/>
    <w:rsid w:val="00880750"/>
    <w:rsid w:val="008C2AAC"/>
    <w:rsid w:val="008D0249"/>
    <w:rsid w:val="008F2E2E"/>
    <w:rsid w:val="008F751E"/>
    <w:rsid w:val="00922C57"/>
    <w:rsid w:val="00950B99"/>
    <w:rsid w:val="009B0585"/>
    <w:rsid w:val="009D3587"/>
    <w:rsid w:val="009E3F60"/>
    <w:rsid w:val="00A25020"/>
    <w:rsid w:val="00A43AC9"/>
    <w:rsid w:val="00A7020C"/>
    <w:rsid w:val="00A95444"/>
    <w:rsid w:val="00AD4C60"/>
    <w:rsid w:val="00B16A32"/>
    <w:rsid w:val="00B3139A"/>
    <w:rsid w:val="00B41E8C"/>
    <w:rsid w:val="00B46503"/>
    <w:rsid w:val="00B478D0"/>
    <w:rsid w:val="00B56A9C"/>
    <w:rsid w:val="00B61AA9"/>
    <w:rsid w:val="00B62A51"/>
    <w:rsid w:val="00BB73D8"/>
    <w:rsid w:val="00BD328B"/>
    <w:rsid w:val="00BF5F2C"/>
    <w:rsid w:val="00BF7615"/>
    <w:rsid w:val="00C030C2"/>
    <w:rsid w:val="00C177F9"/>
    <w:rsid w:val="00C2607E"/>
    <w:rsid w:val="00C41D44"/>
    <w:rsid w:val="00C51E19"/>
    <w:rsid w:val="00C55089"/>
    <w:rsid w:val="00C729BF"/>
    <w:rsid w:val="00C82335"/>
    <w:rsid w:val="00C90314"/>
    <w:rsid w:val="00C94F75"/>
    <w:rsid w:val="00CA0C70"/>
    <w:rsid w:val="00CA0E17"/>
    <w:rsid w:val="00CA7ABB"/>
    <w:rsid w:val="00D27A6D"/>
    <w:rsid w:val="00D44E5D"/>
    <w:rsid w:val="00D83DCF"/>
    <w:rsid w:val="00DB4536"/>
    <w:rsid w:val="00DB6B82"/>
    <w:rsid w:val="00DC65B0"/>
    <w:rsid w:val="00DD7527"/>
    <w:rsid w:val="00DF4F2A"/>
    <w:rsid w:val="00E30546"/>
    <w:rsid w:val="00E52F09"/>
    <w:rsid w:val="00E610EE"/>
    <w:rsid w:val="00E76C16"/>
    <w:rsid w:val="00E933C2"/>
    <w:rsid w:val="00E93532"/>
    <w:rsid w:val="00EA471A"/>
    <w:rsid w:val="00EB2D0F"/>
    <w:rsid w:val="00EB5629"/>
    <w:rsid w:val="00F0114E"/>
    <w:rsid w:val="00F41E04"/>
    <w:rsid w:val="00F62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38A8B"/>
  <w15:chartTrackingRefBased/>
  <w15:docId w15:val="{313625EE-E6AA-4CEB-B143-38EBF4A4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40"/>
      <w:szCs w:val="20"/>
    </w:rPr>
  </w:style>
  <w:style w:type="paragraph" w:styleId="Heading3">
    <w:name w:val="heading 3"/>
    <w:basedOn w:val="Normal"/>
    <w:next w:val="Normal"/>
    <w:qFormat/>
    <w:pPr>
      <w:keepNext/>
      <w:outlineLvl w:val="2"/>
    </w:pPr>
    <w:rPr>
      <w:rFonts w:ascii="Tahoma" w:eastAsia="Batang" w:hAnsi="Tahoma" w:cs="Tahoma"/>
      <w:lang w:eastAsia="ko-KR"/>
    </w:rPr>
  </w:style>
  <w:style w:type="paragraph" w:styleId="Heading7">
    <w:name w:val="heading 7"/>
    <w:basedOn w:val="Normal"/>
    <w:next w:val="Normal"/>
    <w:qFormat/>
    <w:pPr>
      <w:keepNext/>
      <w:outlineLvl w:val="6"/>
    </w:pPr>
    <w:rPr>
      <w:rFonts w:ascii="Tahoma" w:hAnsi="Tahoma" w:cs="Tahoma"/>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rPr>
      <w:sz w:val="20"/>
      <w:szCs w:val="20"/>
    </w:rPr>
  </w:style>
  <w:style w:type="paragraph" w:customStyle="1" w:styleId="RICOL1">
    <w:name w:val="RICOL1"/>
    <w:basedOn w:val="Normal"/>
    <w:pPr>
      <w:tabs>
        <w:tab w:val="left" w:pos="360"/>
      </w:tabs>
      <w:spacing w:line="240" w:lineRule="exact"/>
    </w:pPr>
    <w:rPr>
      <w:rFonts w:ascii="Optima" w:hAnsi="Optima"/>
      <w:sz w:val="20"/>
      <w:szCs w:val="20"/>
    </w:rPr>
  </w:style>
  <w:style w:type="paragraph" w:styleId="BodyText">
    <w:name w:val="Body Text"/>
    <w:basedOn w:val="Normal"/>
    <w:pPr>
      <w:autoSpaceDE w:val="0"/>
      <w:autoSpaceDN w:val="0"/>
      <w:adjustRightInd w:val="0"/>
    </w:pPr>
    <w:rPr>
      <w:rFonts w:ascii="Tahoma" w:hAnsi="Tahoma" w:cs="Tahoma"/>
      <w:color w:val="0000FF"/>
    </w:rPr>
  </w:style>
  <w:style w:type="character" w:styleId="Emphasis">
    <w:name w:val="Emphasis"/>
    <w:qFormat/>
    <w:rsid w:val="00B56A9C"/>
    <w:rPr>
      <w:i/>
      <w:iCs/>
    </w:rPr>
  </w:style>
  <w:style w:type="paragraph" w:styleId="NoSpacing">
    <w:name w:val="No Spacing"/>
    <w:link w:val="NoSpacingChar"/>
    <w:uiPriority w:val="1"/>
    <w:qFormat/>
    <w:rsid w:val="00CA0C70"/>
    <w:rPr>
      <w:rFonts w:ascii="Calibri" w:eastAsia="Calibri" w:hAnsi="Calibri"/>
      <w:sz w:val="22"/>
      <w:szCs w:val="22"/>
    </w:rPr>
  </w:style>
  <w:style w:type="character" w:customStyle="1" w:styleId="NoSpacingChar">
    <w:name w:val="No Spacing Char"/>
    <w:basedOn w:val="DefaultParagraphFont"/>
    <w:link w:val="NoSpacing"/>
    <w:uiPriority w:val="1"/>
    <w:rsid w:val="00F62A94"/>
    <w:rPr>
      <w:rFonts w:ascii="Calibri" w:eastAsia="Calibri" w:hAnsi="Calibri"/>
      <w:sz w:val="22"/>
      <w:szCs w:val="22"/>
    </w:rPr>
  </w:style>
  <w:style w:type="paragraph" w:styleId="ListParagraph">
    <w:name w:val="List Paragraph"/>
    <w:basedOn w:val="Normal"/>
    <w:uiPriority w:val="34"/>
    <w:qFormat/>
    <w:rsid w:val="00BF5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842647">
      <w:bodyDiv w:val="1"/>
      <w:marLeft w:val="0"/>
      <w:marRight w:val="0"/>
      <w:marTop w:val="0"/>
      <w:marBottom w:val="0"/>
      <w:divBdr>
        <w:top w:val="none" w:sz="0" w:space="0" w:color="auto"/>
        <w:left w:val="none" w:sz="0" w:space="0" w:color="auto"/>
        <w:bottom w:val="none" w:sz="0" w:space="0" w:color="auto"/>
        <w:right w:val="none" w:sz="0" w:space="0" w:color="auto"/>
      </w:divBdr>
      <w:divsChild>
        <w:div w:id="143738391">
          <w:marLeft w:val="0"/>
          <w:marRight w:val="0"/>
          <w:marTop w:val="0"/>
          <w:marBottom w:val="0"/>
          <w:divBdr>
            <w:top w:val="none" w:sz="0" w:space="0" w:color="auto"/>
            <w:left w:val="none" w:sz="0" w:space="0" w:color="auto"/>
            <w:bottom w:val="none" w:sz="0" w:space="0" w:color="auto"/>
            <w:right w:val="none" w:sz="0" w:space="0" w:color="auto"/>
          </w:divBdr>
          <w:divsChild>
            <w:div w:id="770778371">
              <w:marLeft w:val="0"/>
              <w:marRight w:val="0"/>
              <w:marTop w:val="0"/>
              <w:marBottom w:val="0"/>
              <w:divBdr>
                <w:top w:val="none" w:sz="0" w:space="0" w:color="auto"/>
                <w:left w:val="none" w:sz="0" w:space="0" w:color="auto"/>
                <w:bottom w:val="none" w:sz="0" w:space="0" w:color="auto"/>
                <w:right w:val="none" w:sz="0" w:space="0" w:color="auto"/>
              </w:divBdr>
            </w:div>
          </w:divsChild>
        </w:div>
        <w:div w:id="267125295">
          <w:marLeft w:val="0"/>
          <w:marRight w:val="0"/>
          <w:marTop w:val="0"/>
          <w:marBottom w:val="0"/>
          <w:divBdr>
            <w:top w:val="none" w:sz="0" w:space="0" w:color="auto"/>
            <w:left w:val="none" w:sz="0" w:space="0" w:color="auto"/>
            <w:bottom w:val="none" w:sz="0" w:space="0" w:color="auto"/>
            <w:right w:val="none" w:sz="0" w:space="0" w:color="auto"/>
          </w:divBdr>
        </w:div>
        <w:div w:id="1506049802">
          <w:marLeft w:val="0"/>
          <w:marRight w:val="0"/>
          <w:marTop w:val="0"/>
          <w:marBottom w:val="0"/>
          <w:divBdr>
            <w:top w:val="none" w:sz="0" w:space="0" w:color="auto"/>
            <w:left w:val="none" w:sz="0" w:space="0" w:color="auto"/>
            <w:bottom w:val="none" w:sz="0" w:space="0" w:color="auto"/>
            <w:right w:val="none" w:sz="0" w:space="0" w:color="auto"/>
          </w:divBdr>
          <w:divsChild>
            <w:div w:id="13248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MidCitiesPsychiat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0F6AC-8DF2-486E-A08E-EE7CC75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Sr</vt:lpstr>
    </vt:vector>
  </TitlesOfParts>
  <Company>ASPII International</Company>
  <LinksUpToDate>false</LinksUpToDate>
  <CharactersWithSpaces>2469</CharactersWithSpaces>
  <SharedDoc>false</SharedDoc>
  <HLinks>
    <vt:vector size="6" baseType="variant">
      <vt:variant>
        <vt:i4>327718</vt:i4>
      </vt:variant>
      <vt:variant>
        <vt:i4>0</vt:i4>
      </vt:variant>
      <vt:variant>
        <vt:i4>0</vt:i4>
      </vt:variant>
      <vt:variant>
        <vt:i4>5</vt:i4>
      </vt:variant>
      <vt:variant>
        <vt:lpwstr>mailto:info@MidCitiesPsychiatry.com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Sohail Pirzada</dc:creator>
  <cp:keywords/>
  <cp:lastModifiedBy>Sohail Pirzada</cp:lastModifiedBy>
  <cp:revision>2</cp:revision>
  <cp:lastPrinted>2022-07-06T22:11:00Z</cp:lastPrinted>
  <dcterms:created xsi:type="dcterms:W3CDTF">2025-07-24T20:45:00Z</dcterms:created>
  <dcterms:modified xsi:type="dcterms:W3CDTF">2025-07-24T20:45:00Z</dcterms:modified>
</cp:coreProperties>
</file>